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CellSpacing w:w="0" w:type="dxa"/>
        <w:shd w:val="clear" w:color="auto" w:fill="B1BDC9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2100"/>
        <w:gridCol w:w="7658"/>
      </w:tblGrid>
      <w:tr w:rsidR="001C70BC" w:rsidRPr="001C70BC" w:rsidTr="001C70BC">
        <w:trPr>
          <w:tblCellSpacing w:w="0" w:type="dxa"/>
          <w:jc w:val="center"/>
        </w:trPr>
        <w:tc>
          <w:tcPr>
            <w:tcW w:w="2100" w:type="dxa"/>
            <w:shd w:val="clear" w:color="auto" w:fill="DEE4EC"/>
            <w:hideMark/>
          </w:tcPr>
          <w:p w:rsidR="001C70BC" w:rsidRPr="001C70BC" w:rsidRDefault="001C70BC" w:rsidP="001C70BC">
            <w:pPr>
              <w:spacing w:after="0" w:line="240" w:lineRule="auto"/>
              <w:rPr>
                <w:rFonts w:ascii="Verdana" w:eastAsia="Times New Roman" w:hAnsi="Verdana" w:cs="Times New Roman"/>
                <w:color w:val="304B58"/>
                <w:sz w:val="14"/>
                <w:szCs w:val="14"/>
                <w:lang w:val="ru-RU" w:eastAsia="ru-RU"/>
              </w:rPr>
            </w:pPr>
            <w:proofErr w:type="spellStart"/>
            <w:r w:rsidRPr="001C70BC">
              <w:rPr>
                <w:rFonts w:ascii="Verdana" w:eastAsia="Times New Roman" w:hAnsi="Verdana" w:cs="Times New Roman"/>
                <w:b/>
                <w:bCs/>
                <w:color w:val="304B58"/>
                <w:sz w:val="14"/>
                <w:szCs w:val="14"/>
                <w:lang w:val="ru-RU" w:eastAsia="ru-RU"/>
              </w:rPr>
              <w:t>OKBor</w:t>
            </w:r>
            <w:proofErr w:type="spellEnd"/>
          </w:p>
          <w:p w:rsidR="001C70BC" w:rsidRPr="001C70BC" w:rsidRDefault="001C70BC" w:rsidP="001C70BC">
            <w:pPr>
              <w:spacing w:after="240" w:line="240" w:lineRule="auto"/>
              <w:rPr>
                <w:rFonts w:ascii="Verdana" w:eastAsia="Times New Roman" w:hAnsi="Verdana" w:cs="Times New Roman"/>
                <w:color w:val="304B58"/>
                <w:sz w:val="12"/>
                <w:szCs w:val="12"/>
                <w:lang w:val="ru-RU" w:eastAsia="ru-RU"/>
              </w:rPr>
            </w:pPr>
            <w:proofErr w:type="spellStart"/>
            <w:r w:rsidRPr="001C70BC">
              <w:rPr>
                <w:rFonts w:ascii="Verdana" w:eastAsia="Times New Roman" w:hAnsi="Verdana" w:cs="Times New Roman"/>
                <w:i/>
                <w:iCs/>
                <w:color w:val="304B58"/>
                <w:sz w:val="12"/>
                <w:szCs w:val="12"/>
                <w:lang w:val="ru-RU" w:eastAsia="ru-RU"/>
              </w:rPr>
              <w:t>Экс-Участник</w:t>
            </w:r>
            <w:proofErr w:type="spellEnd"/>
            <w:r w:rsidRPr="001C70BC">
              <w:rPr>
                <w:rFonts w:ascii="Verdana" w:eastAsia="Times New Roman" w:hAnsi="Verdana" w:cs="Times New Roman"/>
                <w:color w:val="304B58"/>
                <w:sz w:val="12"/>
                <w:szCs w:val="12"/>
                <w:lang w:val="ru-RU" w:eastAsia="ru-RU"/>
              </w:rPr>
              <w:br/>
            </w:r>
          </w:p>
        </w:tc>
        <w:tc>
          <w:tcPr>
            <w:tcW w:w="0" w:type="auto"/>
            <w:shd w:val="clear" w:color="auto" w:fill="DEE4EC"/>
            <w:hideMark/>
          </w:tcPr>
          <w:p w:rsidR="001C70BC" w:rsidRPr="001C70BC" w:rsidRDefault="001C70BC" w:rsidP="001C70BC">
            <w:pPr>
              <w:spacing w:after="19" w:line="240" w:lineRule="auto"/>
              <w:rPr>
                <w:rFonts w:ascii="Verdana" w:eastAsia="Times New Roman" w:hAnsi="Verdana" w:cs="Times New Roman"/>
                <w:color w:val="304B58"/>
                <w:sz w:val="14"/>
                <w:szCs w:val="14"/>
                <w:lang w:val="ru-RU"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66"/>
                <w:sz w:val="12"/>
                <w:szCs w:val="12"/>
                <w:lang w:val="ru-RU" w:eastAsia="ru-RU"/>
              </w:rPr>
              <w:drawing>
                <wp:inline distT="0" distB="0" distL="0" distR="0">
                  <wp:extent cx="143510" cy="173355"/>
                  <wp:effectExtent l="19050" t="0" r="8890" b="0"/>
                  <wp:docPr id="1" name="Рисунок 1" descr="http://www.sciteclibrary.ru/yabbfiles/Templates/Forum/default/xx.gif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sciteclibrary.ru/yabbfiles/Templates/Forum/default/xx.gif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10" cy="1733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1C70BC">
              <w:rPr>
                <w:rFonts w:ascii="Verdana" w:eastAsia="Times New Roman" w:hAnsi="Verdana" w:cs="Times New Roman"/>
                <w:b/>
                <w:bCs/>
                <w:color w:val="304B58"/>
                <w:sz w:val="12"/>
                <w:lang w:val="ru-RU" w:eastAsia="ru-RU"/>
              </w:rPr>
              <w:t>Re</w:t>
            </w:r>
            <w:proofErr w:type="spellEnd"/>
            <w:r w:rsidRPr="001C70BC">
              <w:rPr>
                <w:rFonts w:ascii="Verdana" w:eastAsia="Times New Roman" w:hAnsi="Verdana" w:cs="Times New Roman"/>
                <w:b/>
                <w:bCs/>
                <w:color w:val="304B58"/>
                <w:sz w:val="12"/>
                <w:lang w:val="ru-RU" w:eastAsia="ru-RU"/>
              </w:rPr>
              <w:t>: Эфир для чайников.</w:t>
            </w:r>
            <w:r w:rsidRPr="001C70BC">
              <w:rPr>
                <w:rFonts w:ascii="Verdana" w:eastAsia="Times New Roman" w:hAnsi="Verdana" w:cs="Times New Roman"/>
                <w:color w:val="304B58"/>
                <w:sz w:val="12"/>
                <w:szCs w:val="12"/>
                <w:lang w:val="ru-RU" w:eastAsia="ru-RU"/>
              </w:rPr>
              <w:br/>
            </w:r>
            <w:r w:rsidRPr="001C70BC">
              <w:rPr>
                <w:rFonts w:ascii="Verdana" w:eastAsia="Times New Roman" w:hAnsi="Verdana" w:cs="Times New Roman"/>
                <w:b/>
                <w:bCs/>
                <w:color w:val="304B58"/>
                <w:sz w:val="12"/>
                <w:lang w:val="ru-RU" w:eastAsia="ru-RU"/>
              </w:rPr>
              <w:t>Ответ #1250 - </w:t>
            </w:r>
            <w:r w:rsidRPr="001C70BC">
              <w:rPr>
                <w:rFonts w:ascii="Verdana" w:eastAsia="Times New Roman" w:hAnsi="Verdana" w:cs="Times New Roman"/>
                <w:color w:val="304B58"/>
                <w:sz w:val="12"/>
                <w:lang w:val="ru-RU" w:eastAsia="ru-RU"/>
              </w:rPr>
              <w:t>27.11.12</w:t>
            </w:r>
            <w:proofErr w:type="gramStart"/>
            <w:r w:rsidRPr="001C70BC">
              <w:rPr>
                <w:rFonts w:ascii="Verdana" w:eastAsia="Times New Roman" w:hAnsi="Verdana" w:cs="Times New Roman"/>
                <w:color w:val="304B58"/>
                <w:sz w:val="12"/>
                <w:lang w:val="ru-RU" w:eastAsia="ru-RU"/>
              </w:rPr>
              <w:t xml:space="preserve"> :</w:t>
            </w:r>
            <w:proofErr w:type="gramEnd"/>
            <w:r w:rsidRPr="001C70BC">
              <w:rPr>
                <w:rFonts w:ascii="Verdana" w:eastAsia="Times New Roman" w:hAnsi="Verdana" w:cs="Times New Roman"/>
                <w:color w:val="304B58"/>
                <w:sz w:val="12"/>
                <w:lang w:val="ru-RU" w:eastAsia="ru-RU"/>
              </w:rPr>
              <w:t>: 07:25:30 </w:t>
            </w:r>
          </w:p>
          <w:p w:rsidR="001C70BC" w:rsidRPr="001C70BC" w:rsidRDefault="001C70BC" w:rsidP="001C70B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</w:pPr>
            <w:r w:rsidRPr="001C70BC">
              <w:rPr>
                <w:rFonts w:ascii="Verdana" w:eastAsia="Times New Roman" w:hAnsi="Verdana" w:cs="Times New Roman"/>
                <w:b/>
                <w:bCs/>
                <w:color w:val="000000"/>
                <w:sz w:val="13"/>
                <w:szCs w:val="13"/>
                <w:lang w:val="ru-RU" w:eastAsia="ru-RU"/>
              </w:rPr>
              <w:t>Цитата:</w:t>
            </w:r>
          </w:p>
          <w:p w:rsidR="001C70BC" w:rsidRPr="001C70BC" w:rsidRDefault="001C70BC" w:rsidP="001C70BC">
            <w:pPr>
              <w:shd w:val="clear" w:color="auto" w:fill="E8EBEF"/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</w:pPr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 xml:space="preserve">напряжение и ток меняются как на входе </w:t>
            </w:r>
            <w:proofErr w:type="gramStart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>устройства</w:t>
            </w:r>
            <w:proofErr w:type="gramEnd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 xml:space="preserve"> так и на выходе, а не </w:t>
            </w:r>
            <w:proofErr w:type="spellStart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>плохобы</w:t>
            </w:r>
            <w:proofErr w:type="spellEnd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 xml:space="preserve"> ещё на каждой катушке или паре обмоток его оценивать, да и вообще мечта </w:t>
            </w:r>
            <w:proofErr w:type="spellStart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>экперементатора</w:t>
            </w:r>
            <w:proofErr w:type="spellEnd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 xml:space="preserve"> - снимать </w:t>
            </w:r>
            <w:proofErr w:type="spellStart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>занчение</w:t>
            </w:r>
            <w:proofErr w:type="spellEnd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 xml:space="preserve"> с каждого узла схемы!</w:t>
            </w:r>
          </w:p>
          <w:p w:rsidR="001C70BC" w:rsidRPr="001C70BC" w:rsidRDefault="001C70BC" w:rsidP="001C70B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</w:pPr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>Вот тоже катушки интересные.</w:t>
            </w:r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br/>
            </w:r>
            <w:r w:rsidRPr="001C70BC">
              <w:rPr>
                <w:rFonts w:ascii="Verdana" w:eastAsia="Times New Roman" w:hAnsi="Verdana" w:cs="Times New Roman"/>
                <w:b/>
                <w:bCs/>
                <w:color w:val="000000"/>
                <w:sz w:val="13"/>
                <w:szCs w:val="13"/>
                <w:lang w:val="ru-RU" w:eastAsia="ru-RU"/>
              </w:rPr>
              <w:t>Цитата:</w:t>
            </w:r>
          </w:p>
          <w:p w:rsidR="001C70BC" w:rsidRPr="001C70BC" w:rsidRDefault="001C70BC" w:rsidP="001C70BC">
            <w:pPr>
              <w:shd w:val="clear" w:color="auto" w:fill="E8EBEF"/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</w:pPr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 xml:space="preserve">В редакцию поступил </w:t>
            </w:r>
            <w:proofErr w:type="gramStart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>комментарий автора статьи</w:t>
            </w:r>
            <w:proofErr w:type="gramEnd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 xml:space="preserve"> Сергея </w:t>
            </w:r>
            <w:proofErr w:type="spellStart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>Лачиняна</w:t>
            </w:r>
            <w:proofErr w:type="spellEnd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 xml:space="preserve"> и ответы на некоторые вопросы, возникшие в </w:t>
            </w:r>
            <w:proofErr w:type="spellStart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>комменнтариях</w:t>
            </w:r>
            <w:proofErr w:type="spellEnd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>. Привожу этот комментарий полностью</w:t>
            </w:r>
            <w:proofErr w:type="gramStart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br/>
              <w:t>С</w:t>
            </w:r>
            <w:proofErr w:type="gramEnd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 xml:space="preserve"> Марковым мы немного общались в 2003г. В тот период он придерживался "нейтринной теории", и я предложил ему несколько иной подход который был отражен в статье -     </w:t>
            </w:r>
            <w:hyperlink r:id="rId7" w:tgtFrame="_blank" w:history="1">
              <w:r w:rsidRPr="001C70BC">
                <w:rPr>
                  <w:rFonts w:ascii="Verdana" w:eastAsia="Times New Roman" w:hAnsi="Verdana" w:cs="Times New Roman"/>
                  <w:color w:val="900000"/>
                  <w:sz w:val="13"/>
                  <w:lang w:val="ru-RU" w:eastAsia="ru-RU"/>
                </w:rPr>
                <w:t>http://www.efir.com.ua/rus/a.php?r=2&amp;d=86 </w:t>
              </w:r>
            </w:hyperlink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> (</w:t>
            </w:r>
            <w:proofErr w:type="gramStart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>там</w:t>
            </w:r>
            <w:proofErr w:type="gramEnd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 xml:space="preserve"> в тексте статьи есть ошибка - написано "Зеркально цитоплазматический эффект" - правильно читать "Зеркально </w:t>
            </w:r>
            <w:proofErr w:type="spellStart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>цитопатический</w:t>
            </w:r>
            <w:proofErr w:type="spellEnd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 xml:space="preserve"> эффект")</w:t>
            </w:r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br/>
              <w:t>Насколько мне известно,  сейчас Марков достаточно далеко продвинулся в исследованиях  -  официально они пытаются свести феномен  к наличию высокочастотных гармоник и импульсной некомпенсированной составляющей.</w:t>
            </w:r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br/>
              <w:t>Впрочем, это публичная версия, поскольку суть явления - а именно: "Электромагнитные поля компенсируются - но не исчезают" он везде четко формулирует.</w:t>
            </w:r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br/>
              <w:t>Этот же принцип можно обнаружить и в случае взаимодействия магнитов с точкой компенсации магнитных полей. То есть, там, где по классическим представлениям поля нет совсем, исходя из имеющихся фактов, следует признать, что оно  есть, но в нем скомпенсирована электрическая и магнитная составляющая.  В этом случае это "поле" представляет собой градиент плотности проводящей среды (эфира?) сжатой (растянутой) встречными ЭМ полями.   Остальное в статье.</w:t>
            </w:r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br/>
              <w:t>К этому комментарию я прикрепляю ссылку на патенты Маркова</w:t>
            </w:r>
            <w:proofErr w:type="gramStart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 xml:space="preserve"> ............,,,,,,,,,,,,,,,,,,,,,,,,,,,,,,,,,,,,, , </w:t>
            </w:r>
            <w:proofErr w:type="gramEnd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>где описаны принципы создания его трансформаторов. Так же их варианты (включая полные аналоги) можно видеть в более ранних патентах Тесла и патентах других авторов. Однако, отдавая дань таланту Г.Маркова, и благодаря тому факту, что лично познакомился с этими феноменами  благодаря экспертизе его патентов  (в тот период возглавлял лабораторию технической экспертизы), везде публично отдаю приоритет Геннадию.</w:t>
            </w:r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br/>
              <w:t>Теперь пару слов о том, с какими трансформаторами работаю я. Первое, что следует сказать сразу,  как выяснилось (как ни прискорбно, признаюсь, для меня это было открытием на 30 году занятий электроникой...) в физике существует "парадокс трансформатора" - который не имеет внятного решения и, по сути, работа абсолютно любого трансформатора это загадка!</w:t>
            </w:r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br/>
              <w:t>Далее, поскольку Марков работает с импульсными сигналами, у публики сложилось стойкое представление, что подобные устройства - трансформаторы Тесла и Маркова работают только на высоких частотах и т.д.</w:t>
            </w:r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br/>
              <w:t>Спешу развеять этот миф - я работал только с обычными (широкополосными синусоидальными) сигналами, и в основном, на частотах  звукового диапазона. Для всех желающих поработать с этими феноменами от сети  - ниже даю более подробное описание.</w:t>
            </w:r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br/>
              <w:t>Первый экспериментальный трансформатор был изготовлен на базе широко распространенного сетевого трансформатора  - типа ТС-180, от обычного телевизора </w:t>
            </w:r>
            <w:hyperlink r:id="rId8" w:tgtFrame="_blank" w:history="1">
              <w:r w:rsidRPr="001C70BC">
                <w:rPr>
                  <w:rFonts w:ascii="Verdana" w:eastAsia="Times New Roman" w:hAnsi="Verdana" w:cs="Times New Roman"/>
                  <w:color w:val="900000"/>
                  <w:sz w:val="13"/>
                  <w:lang w:val="ru-RU" w:eastAsia="ru-RU"/>
                </w:rPr>
                <w:t>http://www.radiolibrary.ru/reference/transformers-ts/ts180.html</w:t>
              </w:r>
            </w:hyperlink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 xml:space="preserve"> (годятся и любые другие трансформаторы такого типа).  Для этого достаточно сетевые обмотки - выводы 1-3 и 1*-3* (там они намотаны на двух отдельных катушках) соединить встречно-последовательно, а поверх всего </w:t>
            </w:r>
            <w:proofErr w:type="gramStart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>трансформатора</w:t>
            </w:r>
            <w:proofErr w:type="gramEnd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 xml:space="preserve"> т.е. обеих катушек сразу (так как устанавливают экран) намотать 150- 200 витков провода (ПЭЛ-0,5). Это будет первичная обмотка.</w:t>
            </w:r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br/>
              <w:t xml:space="preserve">В результате мы получим первичную обмотку имеющую индуктивность и вторичную (встречные сетевые) в которой индуктивность скомпенсирована. Теперь если на первичную подать небольшое переменное напряжение (в пределах 20вольт от сети </w:t>
            </w:r>
            <w:proofErr w:type="gramStart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>-ч</w:t>
            </w:r>
            <w:proofErr w:type="gramEnd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 xml:space="preserve">астота 50 Гц, например с </w:t>
            </w:r>
            <w:proofErr w:type="spellStart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>латра</w:t>
            </w:r>
            <w:proofErr w:type="spellEnd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 xml:space="preserve">), то на вторичной будет индуцировано напряжение и ток (можно тестировать на нагрузку - например маломощную лампочку 12вольт и т.п.). По сути, в этом случае, мы имеем дроссель с расщепленной вторичной обмоткой, в котором </w:t>
            </w:r>
            <w:proofErr w:type="gramStart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>первичная</w:t>
            </w:r>
            <w:proofErr w:type="gramEnd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 xml:space="preserve"> </w:t>
            </w:r>
            <w:proofErr w:type="spellStart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>перемагничивает</w:t>
            </w:r>
            <w:proofErr w:type="spellEnd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 xml:space="preserve"> сердечник. Первое и естественное (но ошибочное) желание свести работу такого устройства к этой простой схеме. Это становится понятно при внимательном анализе и в экспериментах. Так если на первичную обмотку подать напряжение высокой частоты на резонансной частоте (для указанных параметров в пределах 180-250кГц) с достаточно мощного устройства (можно использовать генератор с усилителем звуковых частот или сделать автогенератор). Получим при этом очень мощную дугу на выходе. Тогда закономерно встает вопрос о том, каким образом ферромагнетик сердечника может работать на таких частотах практически без потерь? Более того, снижая количество витков </w:t>
            </w:r>
            <w:proofErr w:type="gramStart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>первичной</w:t>
            </w:r>
            <w:proofErr w:type="gramEnd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 xml:space="preserve">, такой трансформатор можно заставить работать  на частотах вплоть до мегагерц. Следующий (закономерный) шаг - это заменить сердечник из трансформаторного железа на обычную арматуру (любой металл) - эффект остается прежний, но вопрос о потерях в сердечнике тогда встает уже принципиально (индуктивность ведь </w:t>
            </w:r>
            <w:proofErr w:type="gramStart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>у</w:t>
            </w:r>
            <w:proofErr w:type="gramEnd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 xml:space="preserve"> первичной есть...). Однако, это далеко не все парадоксы, поскольку при замере напряжения между крайними выводами и средней точкой соединения вторичных обмоток показывает отсутствие такового (это можно делать и с помощью нагрузки). В принципе это как раз не противоречит общепринятой теории (внешнее магнитное поле не может проникать в сердечник), но тогда вопрос, что проникает </w:t>
            </w:r>
            <w:proofErr w:type="gramStart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>туда</w:t>
            </w:r>
            <w:proofErr w:type="gramEnd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 xml:space="preserve"> когда обмотки включены встречно и откуда сердечник об этом "знает". Однако и это, пожалуй,  не самое главное, а главное это простой вопрос - как на обмотке, которая не имеет индуктивности (она скомпенсирована), возникает индукция. По определению, отсутствие индуктивности автоматически предполагает и отсутствие индукции. Собственно об этом феномене и его следствиях (наличии скомпенсированных полей) я и упомянул в статье. Теперь еще немного об отличии моего подхода от подхода Маркова. Я изначально начал работать с резонансными явлениями</w:t>
            </w:r>
            <w:proofErr w:type="gramStart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 xml:space="preserve"> ,</w:t>
            </w:r>
            <w:proofErr w:type="gramEnd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 xml:space="preserve"> а в последствии и с обычными гармоническими сигналами (звуковых частот), в то время, как Геннадий, насколько мне известно, сосредоточился на силовых - импульсных режимах. (Кстати, взгляните на патенты Тесла - вы обнаружите, что там практически, всегда, используются встречно намотанные </w:t>
            </w:r>
            <w:proofErr w:type="gramStart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>катушки</w:t>
            </w:r>
            <w:proofErr w:type="gramEnd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 xml:space="preserve"> т.е. он как раз работал с резонансом для скомпенсированного ЭМ поля).</w:t>
            </w:r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br/>
              <w:t>Кроме того, работа с униполярными машинами и скомпенсированными магнитными полями (например, поищите по фразе - "магнит сибирский Коля") быстро приводит к тем же результатам.- (В статье я дал ссылку на </w:t>
            </w:r>
            <w:hyperlink r:id="rId9" w:tgtFrame="_blank" w:history="1">
              <w:r w:rsidRPr="001C70BC">
                <w:rPr>
                  <w:rFonts w:ascii="Verdana" w:eastAsia="Times New Roman" w:hAnsi="Verdana" w:cs="Times New Roman"/>
                  <w:color w:val="900000"/>
                  <w:sz w:val="13"/>
                  <w:lang w:val="ru-RU" w:eastAsia="ru-RU"/>
                </w:rPr>
                <w:t>http://pavel-znykin.narod.ru/Kozyrew.WII/Kozyrew.WII.html </w:t>
              </w:r>
            </w:hyperlink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> , в библиографии которой можно найти  ссылки на эти материалы). Естественно, сейчас для практических целей  мной разработаны устройства, заметно отличающиеся от   прототипов (типа приведенного трансформатора Маркова/Тесла) и обнаружены многие весьма интересные явления, о чем можно поговорить в дальнейшем. Безусловно, начинать исследовать эту тему целесообразно с простейших устройств типа тех,  которые даны в патентах Маркова или опытов, которые здесь описаны.</w:t>
            </w:r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br/>
              <w:t>Быть добру!</w:t>
            </w:r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br/>
              <w:t>Новое - новым!</w:t>
            </w:r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br/>
            </w:r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br/>
              <w:t xml:space="preserve">С наилучшими пожеланиями - Сергей </w:t>
            </w:r>
            <w:proofErr w:type="spellStart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>Лачинян</w:t>
            </w:r>
            <w:proofErr w:type="spellEnd"/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>.</w:t>
            </w:r>
          </w:p>
          <w:p w:rsidR="001C70BC" w:rsidRPr="001C70BC" w:rsidRDefault="001C70BC" w:rsidP="001C70B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</w:pPr>
            <w:r w:rsidRPr="001C70BC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val="ru-RU" w:eastAsia="ru-RU"/>
              </w:rPr>
              <w:t>Нижняя ссылка тоже очень интересна (о белых пятнах в магнитном поле)</w:t>
            </w:r>
          </w:p>
        </w:tc>
      </w:tr>
    </w:tbl>
    <w:p w:rsidR="00E63180" w:rsidRPr="00322BEA" w:rsidRDefault="00E63180" w:rsidP="00322BEA">
      <w:pPr>
        <w:rPr>
          <w:lang w:val="ru-RU"/>
        </w:rPr>
      </w:pPr>
    </w:p>
    <w:sectPr w:rsidR="00E63180" w:rsidRPr="00322BEA" w:rsidSect="00322BEA">
      <w:pgSz w:w="11906" w:h="16838"/>
      <w:pgMar w:top="851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C70BC"/>
    <w:rsid w:val="001C70BC"/>
    <w:rsid w:val="00322BEA"/>
    <w:rsid w:val="0035444B"/>
    <w:rsid w:val="005D1BCA"/>
    <w:rsid w:val="00AB7B1B"/>
    <w:rsid w:val="00E068D6"/>
    <w:rsid w:val="00E631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180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mall">
    <w:name w:val="small"/>
    <w:basedOn w:val="a0"/>
    <w:rsid w:val="001C70BC"/>
  </w:style>
  <w:style w:type="character" w:styleId="a3">
    <w:name w:val="Hyperlink"/>
    <w:basedOn w:val="a0"/>
    <w:uiPriority w:val="99"/>
    <w:unhideWhenUsed/>
    <w:rsid w:val="001C70BC"/>
    <w:rPr>
      <w:color w:val="0000FF"/>
      <w:u w:val="single"/>
    </w:rPr>
  </w:style>
  <w:style w:type="character" w:customStyle="1" w:styleId="highlight">
    <w:name w:val="highlight"/>
    <w:basedOn w:val="a0"/>
    <w:rsid w:val="001C70BC"/>
  </w:style>
  <w:style w:type="paragraph" w:styleId="a4">
    <w:name w:val="Balloon Text"/>
    <w:basedOn w:val="a"/>
    <w:link w:val="a5"/>
    <w:uiPriority w:val="99"/>
    <w:semiHidden/>
    <w:unhideWhenUsed/>
    <w:rsid w:val="001C7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70BC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9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07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01814">
          <w:marLeft w:val="0"/>
          <w:marRight w:val="0"/>
          <w:marTop w:val="0"/>
          <w:marBottom w:val="19"/>
          <w:divBdr>
            <w:top w:val="none" w:sz="0" w:space="0" w:color="auto"/>
            <w:left w:val="none" w:sz="0" w:space="0" w:color="auto"/>
            <w:bottom w:val="single" w:sz="4" w:space="2" w:color="A7B8CC"/>
            <w:right w:val="none" w:sz="0" w:space="0" w:color="auto"/>
          </w:divBdr>
        </w:div>
        <w:div w:id="138394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690687">
              <w:marLeft w:val="0"/>
              <w:marRight w:val="0"/>
              <w:marTop w:val="0"/>
              <w:marBottom w:val="0"/>
              <w:divBdr>
                <w:top w:val="single" w:sz="4" w:space="2" w:color="34689A"/>
                <w:left w:val="single" w:sz="4" w:space="2" w:color="34689A"/>
                <w:bottom w:val="single" w:sz="4" w:space="2" w:color="34689A"/>
                <w:right w:val="single" w:sz="4" w:space="2" w:color="34689A"/>
              </w:divBdr>
              <w:divsChild>
                <w:div w:id="377439890">
                  <w:marLeft w:val="0"/>
                  <w:marRight w:val="0"/>
                  <w:marTop w:val="0"/>
                  <w:marBottom w:val="0"/>
                  <w:divBdr>
                    <w:top w:val="single" w:sz="4" w:space="2" w:color="34689A"/>
                    <w:left w:val="single" w:sz="4" w:space="2" w:color="34689A"/>
                    <w:bottom w:val="single" w:sz="4" w:space="2" w:color="34689A"/>
                    <w:right w:val="single" w:sz="4" w:space="2" w:color="34689A"/>
                  </w:divBdr>
                </w:div>
              </w:divsChild>
            </w:div>
          </w:divsChild>
        </w:div>
      </w:divsChild>
    </w:div>
    <w:div w:id="2078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89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58982">
          <w:marLeft w:val="0"/>
          <w:marRight w:val="0"/>
          <w:marTop w:val="0"/>
          <w:marBottom w:val="19"/>
          <w:divBdr>
            <w:top w:val="none" w:sz="0" w:space="0" w:color="auto"/>
            <w:left w:val="none" w:sz="0" w:space="0" w:color="auto"/>
            <w:bottom w:val="single" w:sz="4" w:space="2" w:color="A7B8CC"/>
            <w:right w:val="none" w:sz="0" w:space="0" w:color="auto"/>
          </w:divBdr>
        </w:div>
        <w:div w:id="29846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10405">
              <w:marLeft w:val="0"/>
              <w:marRight w:val="0"/>
              <w:marTop w:val="0"/>
              <w:marBottom w:val="0"/>
              <w:divBdr>
                <w:top w:val="single" w:sz="4" w:space="2" w:color="34689A"/>
                <w:left w:val="single" w:sz="4" w:space="2" w:color="34689A"/>
                <w:bottom w:val="single" w:sz="4" w:space="2" w:color="34689A"/>
                <w:right w:val="single" w:sz="4" w:space="2" w:color="34689A"/>
              </w:divBdr>
              <w:divsChild>
                <w:div w:id="1393583438">
                  <w:marLeft w:val="0"/>
                  <w:marRight w:val="0"/>
                  <w:marTop w:val="0"/>
                  <w:marBottom w:val="0"/>
                  <w:divBdr>
                    <w:top w:val="single" w:sz="4" w:space="2" w:color="34689A"/>
                    <w:left w:val="single" w:sz="4" w:space="2" w:color="34689A"/>
                    <w:bottom w:val="single" w:sz="4" w:space="2" w:color="34689A"/>
                    <w:right w:val="single" w:sz="4" w:space="2" w:color="34689A"/>
                  </w:divBdr>
                </w:div>
              </w:divsChild>
            </w:div>
          </w:divsChild>
        </w:div>
      </w:divsChild>
    </w:div>
    <w:div w:id="33334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28131">
          <w:marLeft w:val="0"/>
          <w:marRight w:val="0"/>
          <w:marTop w:val="0"/>
          <w:marBottom w:val="19"/>
          <w:divBdr>
            <w:top w:val="none" w:sz="0" w:space="0" w:color="auto"/>
            <w:left w:val="none" w:sz="0" w:space="0" w:color="auto"/>
            <w:bottom w:val="single" w:sz="4" w:space="2" w:color="A7B8CC"/>
            <w:right w:val="none" w:sz="0" w:space="0" w:color="auto"/>
          </w:divBdr>
        </w:div>
        <w:div w:id="14395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216448">
              <w:marLeft w:val="0"/>
              <w:marRight w:val="0"/>
              <w:marTop w:val="0"/>
              <w:marBottom w:val="0"/>
              <w:divBdr>
                <w:top w:val="single" w:sz="4" w:space="2" w:color="34689A"/>
                <w:left w:val="single" w:sz="4" w:space="2" w:color="34689A"/>
                <w:bottom w:val="single" w:sz="4" w:space="2" w:color="34689A"/>
                <w:right w:val="single" w:sz="4" w:space="2" w:color="34689A"/>
              </w:divBdr>
              <w:divsChild>
                <w:div w:id="42872968">
                  <w:marLeft w:val="0"/>
                  <w:marRight w:val="0"/>
                  <w:marTop w:val="0"/>
                  <w:marBottom w:val="0"/>
                  <w:divBdr>
                    <w:top w:val="single" w:sz="4" w:space="2" w:color="34689A"/>
                    <w:left w:val="single" w:sz="4" w:space="2" w:color="34689A"/>
                    <w:bottom w:val="single" w:sz="4" w:space="2" w:color="34689A"/>
                    <w:right w:val="single" w:sz="4" w:space="2" w:color="34689A"/>
                  </w:divBdr>
                </w:div>
              </w:divsChild>
            </w:div>
          </w:divsChild>
        </w:div>
        <w:div w:id="217128432">
          <w:marLeft w:val="0"/>
          <w:marRight w:val="0"/>
          <w:marTop w:val="47"/>
          <w:marBottom w:val="0"/>
          <w:divBdr>
            <w:top w:val="single" w:sz="4" w:space="2" w:color="A7B8C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3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15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92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2993">
          <w:marLeft w:val="0"/>
          <w:marRight w:val="0"/>
          <w:marTop w:val="0"/>
          <w:marBottom w:val="19"/>
          <w:divBdr>
            <w:top w:val="none" w:sz="0" w:space="0" w:color="auto"/>
            <w:left w:val="none" w:sz="0" w:space="0" w:color="auto"/>
            <w:bottom w:val="single" w:sz="4" w:space="2" w:color="A7B8CC"/>
            <w:right w:val="none" w:sz="0" w:space="0" w:color="auto"/>
          </w:divBdr>
        </w:div>
        <w:div w:id="13378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959">
              <w:marLeft w:val="0"/>
              <w:marRight w:val="0"/>
              <w:marTop w:val="0"/>
              <w:marBottom w:val="0"/>
              <w:divBdr>
                <w:top w:val="single" w:sz="4" w:space="2" w:color="34689A"/>
                <w:left w:val="single" w:sz="4" w:space="2" w:color="34689A"/>
                <w:bottom w:val="single" w:sz="4" w:space="2" w:color="34689A"/>
                <w:right w:val="single" w:sz="4" w:space="2" w:color="34689A"/>
              </w:divBdr>
              <w:divsChild>
                <w:div w:id="166675014">
                  <w:marLeft w:val="0"/>
                  <w:marRight w:val="0"/>
                  <w:marTop w:val="0"/>
                  <w:marBottom w:val="0"/>
                  <w:divBdr>
                    <w:top w:val="single" w:sz="4" w:space="2" w:color="34689A"/>
                    <w:left w:val="single" w:sz="4" w:space="2" w:color="34689A"/>
                    <w:bottom w:val="single" w:sz="4" w:space="2" w:color="34689A"/>
                    <w:right w:val="single" w:sz="4" w:space="2" w:color="34689A"/>
                  </w:divBdr>
                </w:div>
              </w:divsChild>
            </w:div>
          </w:divsChild>
        </w:div>
        <w:div w:id="841777142">
          <w:marLeft w:val="0"/>
          <w:marRight w:val="0"/>
          <w:marTop w:val="47"/>
          <w:marBottom w:val="0"/>
          <w:divBdr>
            <w:top w:val="single" w:sz="4" w:space="2" w:color="A7B8C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00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7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41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4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660426">
              <w:marLeft w:val="0"/>
              <w:marRight w:val="0"/>
              <w:marTop w:val="0"/>
              <w:marBottom w:val="19"/>
              <w:divBdr>
                <w:top w:val="none" w:sz="0" w:space="0" w:color="auto"/>
                <w:left w:val="none" w:sz="0" w:space="0" w:color="auto"/>
                <w:bottom w:val="single" w:sz="4" w:space="2" w:color="A7B8CC"/>
                <w:right w:val="none" w:sz="0" w:space="0" w:color="auto"/>
              </w:divBdr>
            </w:div>
            <w:div w:id="195705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056517">
                  <w:marLeft w:val="0"/>
                  <w:marRight w:val="0"/>
                  <w:marTop w:val="0"/>
                  <w:marBottom w:val="0"/>
                  <w:divBdr>
                    <w:top w:val="single" w:sz="4" w:space="2" w:color="34689A"/>
                    <w:left w:val="single" w:sz="4" w:space="2" w:color="34689A"/>
                    <w:bottom w:val="single" w:sz="4" w:space="2" w:color="34689A"/>
                    <w:right w:val="single" w:sz="4" w:space="2" w:color="34689A"/>
                  </w:divBdr>
                </w:div>
                <w:div w:id="1774209689">
                  <w:marLeft w:val="0"/>
                  <w:marRight w:val="0"/>
                  <w:marTop w:val="0"/>
                  <w:marBottom w:val="0"/>
                  <w:divBdr>
                    <w:top w:val="single" w:sz="4" w:space="2" w:color="34689A"/>
                    <w:left w:val="single" w:sz="4" w:space="2" w:color="34689A"/>
                    <w:bottom w:val="single" w:sz="4" w:space="2" w:color="34689A"/>
                    <w:right w:val="single" w:sz="4" w:space="2" w:color="34689A"/>
                  </w:divBdr>
                </w:div>
              </w:divsChild>
            </w:div>
            <w:div w:id="1074475026">
              <w:marLeft w:val="0"/>
              <w:marRight w:val="0"/>
              <w:marTop w:val="47"/>
              <w:marBottom w:val="0"/>
              <w:divBdr>
                <w:top w:val="single" w:sz="4" w:space="2" w:color="A7B8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20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2159">
          <w:marLeft w:val="0"/>
          <w:marRight w:val="0"/>
          <w:marTop w:val="0"/>
          <w:marBottom w:val="19"/>
          <w:divBdr>
            <w:top w:val="none" w:sz="0" w:space="0" w:color="auto"/>
            <w:left w:val="none" w:sz="0" w:space="0" w:color="auto"/>
            <w:bottom w:val="single" w:sz="4" w:space="2" w:color="A7B8CC"/>
            <w:right w:val="none" w:sz="0" w:space="0" w:color="auto"/>
          </w:divBdr>
        </w:div>
        <w:div w:id="19936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479340">
              <w:marLeft w:val="0"/>
              <w:marRight w:val="0"/>
              <w:marTop w:val="0"/>
              <w:marBottom w:val="0"/>
              <w:divBdr>
                <w:top w:val="single" w:sz="4" w:space="2" w:color="34689A"/>
                <w:left w:val="single" w:sz="4" w:space="2" w:color="34689A"/>
                <w:bottom w:val="single" w:sz="4" w:space="2" w:color="34689A"/>
                <w:right w:val="single" w:sz="4" w:space="2" w:color="34689A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iteclibrary.ru/cgi-bin/yabb2/YaBB.pl?action=dereferer;url=http://www.radiolibrary.ru/reference/transformers-ts/ts180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citeclibrary.ru/cgi-bin/yabb2/YaBB.pl?action=dereferer;url=http://www.efir.com.ua/rus/a.php?r=2&amp;d=86%A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theme" Target="theme/theme1.xml"/><Relationship Id="rId5" Type="http://schemas.openxmlformats.org/officeDocument/2006/relationships/hyperlink" Target="http://www.sciteclibrary.ru/cgi-bin/yabb2/YaBB.pl?num=1350558609/1250#125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sciteclibrary.ru/cgi-bin/yabb2/YaBB.pl?action=dereferer;url=http://pavel-znykin.narod.ru/Kozyrew.WII/Kozyrew.WII.html%A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BD3D74-27E1-4FC7-A384-7DA42F658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1137</Words>
  <Characters>6486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Панченко</dc:creator>
  <cp:lastModifiedBy>Панченко</cp:lastModifiedBy>
  <cp:revision>2</cp:revision>
  <dcterms:created xsi:type="dcterms:W3CDTF">2020-03-26T09:27:00Z</dcterms:created>
  <dcterms:modified xsi:type="dcterms:W3CDTF">2020-04-14T08:16:00Z</dcterms:modified>
</cp:coreProperties>
</file>