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E1DDB" w:rsidRPr="002E1DDB" w:rsidRDefault="005418DE" w:rsidP="002E1DDB">
      <w:pPr>
        <w:shd w:val="clear" w:color="auto" w:fill="FFFFFF"/>
        <w:spacing w:after="0" w:line="240" w:lineRule="auto"/>
        <w:textAlignment w:val="top"/>
        <w:rPr>
          <w:rFonts w:ascii="WipoUniExt" w:eastAsia="Times New Roman" w:hAnsi="WipoUniExt" w:cs="Times New Roman"/>
          <w:b/>
          <w:bCs/>
          <w:sz w:val="36"/>
          <w:szCs w:val="36"/>
          <w:lang w:eastAsia="ru-RU"/>
        </w:rPr>
      </w:pPr>
      <w:r>
        <w:fldChar w:fldCharType="begin"/>
      </w:r>
      <w:r>
        <w:instrText xml:space="preserve"> HYPERLINK "https://www1.fips.ru/registers-doc-view/fips_servlet?DB=RUPAT&amp;DocNumber=2566687&amp;TypeFile=html" \t "_blank" \o "Ссылка на реестр (открывается в отдельном окне)" </w:instrText>
      </w:r>
      <w:r>
        <w:fldChar w:fldCharType="separate"/>
      </w:r>
      <w:r w:rsidR="002E1DDB" w:rsidRPr="002E1DDB">
        <w:rPr>
          <w:rFonts w:ascii="WipoUniExt" w:eastAsia="Times New Roman" w:hAnsi="WipoUniExt" w:cs="Times New Roman"/>
          <w:b/>
          <w:bCs/>
          <w:color w:val="0000FF"/>
          <w:sz w:val="36"/>
          <w:u w:val="single"/>
          <w:lang w:eastAsia="ru-RU"/>
        </w:rPr>
        <w:t>2 566 687</w:t>
      </w:r>
      <w:r>
        <w:rPr>
          <w:rFonts w:ascii="WipoUniExt" w:eastAsia="Times New Roman" w:hAnsi="WipoUniExt" w:cs="Times New Roman"/>
          <w:b/>
          <w:bCs/>
          <w:color w:val="0000FF"/>
          <w:sz w:val="36"/>
          <w:u w:val="single"/>
          <w:lang w:eastAsia="ru-RU"/>
        </w:rPr>
        <w:fldChar w:fldCharType="end"/>
      </w:r>
      <w:r w:rsidR="002E1DDB" w:rsidRPr="002E1DDB">
        <w:rPr>
          <w:rFonts w:ascii="WipoUniExt" w:eastAsia="Times New Roman" w:hAnsi="WipoUniExt" w:cs="Times New Roman"/>
          <w:b/>
          <w:bCs/>
          <w:sz w:val="24"/>
          <w:szCs w:val="24"/>
          <w:lang w:eastAsia="ru-RU"/>
        </w:rPr>
        <w:t>инвентор рекуператор</w:t>
      </w:r>
      <w:r w:rsidR="002E1DDB" w:rsidRPr="002E1DDB">
        <w:rPr>
          <w:rFonts w:ascii="WipoUniExt" w:eastAsia="Times New Roman" w:hAnsi="WipoUniExt" w:cs="Times New Roman"/>
          <w:b/>
          <w:bCs/>
          <w:sz w:val="36"/>
          <w:szCs w:val="36"/>
          <w:lang w:eastAsia="ru-RU"/>
        </w:rPr>
        <w:t xml:space="preserve"> </w:t>
      </w:r>
    </w:p>
    <w:p w:rsidR="002E1DDB" w:rsidRPr="002E1DDB" w:rsidRDefault="002E1DDB" w:rsidP="002E1DDB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1DDB">
        <w:rPr>
          <w:rFonts w:ascii="Times New Roman" w:eastAsia="Times New Roman" w:hAnsi="Times New Roman" w:cs="Times New Roman"/>
          <w:sz w:val="20"/>
          <w:szCs w:val="20"/>
          <w:lang w:eastAsia="ru-RU"/>
        </w:rPr>
        <w:t>(13)</w:t>
      </w:r>
    </w:p>
    <w:p w:rsidR="002E1DDB" w:rsidRPr="002E1DDB" w:rsidRDefault="002E1DDB" w:rsidP="002E1DDB">
      <w:pPr>
        <w:shd w:val="clear" w:color="auto" w:fill="FFFFFF"/>
        <w:tabs>
          <w:tab w:val="left" w:pos="4860"/>
        </w:tabs>
        <w:spacing w:after="0" w:line="240" w:lineRule="auto"/>
        <w:textAlignment w:val="top"/>
        <w:rPr>
          <w:rFonts w:ascii="WipoUniExt" w:eastAsia="Times New Roman" w:hAnsi="WipoUniExt" w:cs="Times New Roman"/>
          <w:b/>
          <w:bCs/>
          <w:sz w:val="36"/>
          <w:szCs w:val="36"/>
          <w:lang w:eastAsia="ru-RU"/>
        </w:rPr>
      </w:pPr>
      <w:r w:rsidRPr="002E1DDB">
        <w:rPr>
          <w:rFonts w:ascii="WipoUniExt" w:eastAsia="Times New Roman" w:hAnsi="WipoUniExt" w:cs="Times New Roman"/>
          <w:b/>
          <w:bCs/>
          <w:sz w:val="36"/>
          <w:szCs w:val="36"/>
          <w:lang w:eastAsia="ru-RU"/>
        </w:rPr>
        <w:t>C2</w:t>
      </w:r>
    </w:p>
    <w:p w:rsidR="002E1DDB" w:rsidRPr="002E1DDB" w:rsidRDefault="002E1DDB" w:rsidP="002E1D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1DDB"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  <w:tab/>
      </w:r>
      <w:r w:rsidRPr="002E1DDB">
        <w:rPr>
          <w:rFonts w:ascii="Times New Roman" w:eastAsia="Times New Roman" w:hAnsi="Times New Roman" w:cs="Times New Roman"/>
          <w:sz w:val="20"/>
          <w:szCs w:val="20"/>
          <w:lang w:eastAsia="ru-RU"/>
        </w:rPr>
        <w:t>(51) МПК</w:t>
      </w:r>
    </w:p>
    <w:p w:rsidR="002E1DDB" w:rsidRPr="002E1DDB" w:rsidRDefault="005418DE" w:rsidP="002E1DD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5" w:tgtFrame="_blank" w:tooltip="Ссылка на описание класса МПК (открывается в отдельном окне)" w:history="1">
        <w:r w:rsidR="002E1DDB" w:rsidRPr="002E1DDB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1"/>
            <w:u w:val="single"/>
            <w:lang w:eastAsia="ru-RU"/>
          </w:rPr>
          <w:t xml:space="preserve">H02M 3/00 </w:t>
        </w:r>
        <w:r w:rsidR="002E1DDB" w:rsidRPr="002E1DDB">
          <w:rPr>
            <w:rFonts w:ascii="Times New Roman" w:eastAsia="Times New Roman" w:hAnsi="Times New Roman" w:cs="Times New Roman"/>
            <w:color w:val="0000FF"/>
            <w:sz w:val="20"/>
            <w:u w:val="single"/>
            <w:lang w:eastAsia="ru-RU"/>
          </w:rPr>
          <w:t>(2006.01)</w:t>
        </w:r>
      </w:hyperlink>
      <w:r w:rsidR="002E1DDB" w:rsidRPr="002E1DD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E1DDB" w:rsidRPr="002E1DDB" w:rsidRDefault="005418DE" w:rsidP="002E1DDB">
      <w:pPr>
        <w:tabs>
          <w:tab w:val="left" w:pos="448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tooltip="Ссылка на описание класса МПК (открывается в отдельном окне)" w:history="1">
        <w:r w:rsidR="002E1DDB" w:rsidRPr="002E1DDB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1"/>
            <w:u w:val="single"/>
            <w:lang w:eastAsia="ru-RU"/>
          </w:rPr>
          <w:t xml:space="preserve">H02M 3/10 </w:t>
        </w:r>
        <w:r w:rsidR="002E1DDB" w:rsidRPr="002E1DDB">
          <w:rPr>
            <w:rFonts w:ascii="Times New Roman" w:eastAsia="Times New Roman" w:hAnsi="Times New Roman" w:cs="Times New Roman"/>
            <w:color w:val="0000FF"/>
            <w:sz w:val="20"/>
            <w:u w:val="single"/>
            <w:lang w:eastAsia="ru-RU"/>
          </w:rPr>
          <w:t>(2006.01)</w:t>
        </w:r>
      </w:hyperlink>
      <w:r w:rsidR="002E1DDB" w:rsidRPr="002E1DD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E1DDB" w:rsidRPr="002E1DD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2E1DDB" w:rsidRPr="002E1DDB" w:rsidRDefault="002E1DDB" w:rsidP="002E1DD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2E1DDB" w:rsidRPr="002E1DDB" w:rsidRDefault="002E1DDB" w:rsidP="002E1D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1DDB" w:rsidRPr="002E1DDB" w:rsidRDefault="002E1DDB" w:rsidP="002E1DDB">
      <w:pPr>
        <w:tabs>
          <w:tab w:val="left" w:pos="224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1D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E1DDB" w:rsidRPr="002E1DDB" w:rsidRDefault="002E1DDB" w:rsidP="002E1DDB">
      <w:pPr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DDB" w:rsidRPr="002E1DDB" w:rsidRDefault="002E1DDB" w:rsidP="002E1DDB">
      <w:pPr>
        <w:shd w:val="clear" w:color="auto" w:fill="FFFFFF"/>
        <w:spacing w:line="240" w:lineRule="auto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16"/>
          <w:lang w:eastAsia="ru-RU"/>
        </w:rPr>
        <w:t xml:space="preserve">(12) </w:t>
      </w:r>
      <w:r w:rsidRPr="002E1DDB">
        <w:rPr>
          <w:rFonts w:ascii="WipoUniExt" w:eastAsia="Times New Roman" w:hAnsi="WipoUniExt" w:cs="Times New Roman"/>
          <w:b/>
          <w:bCs/>
          <w:spacing w:val="6"/>
          <w:sz w:val="24"/>
          <w:szCs w:val="24"/>
          <w:lang w:eastAsia="ru-RU"/>
        </w:rPr>
        <w:t xml:space="preserve">ОПИСАНИЕ ИЗОБРЕТЕНИЯ К ПАТЕНТУ </w:t>
      </w:r>
    </w:p>
    <w:tbl>
      <w:tblPr>
        <w:tblW w:w="0" w:type="auto"/>
        <w:jc w:val="center"/>
        <w:tblCellSpacing w:w="0" w:type="dxa"/>
        <w:tblCellMar>
          <w:top w:w="23" w:type="dxa"/>
          <w:left w:w="23" w:type="dxa"/>
          <w:bottom w:w="23" w:type="dxa"/>
          <w:right w:w="23" w:type="dxa"/>
        </w:tblCellMar>
        <w:tblLook w:val="04A0" w:firstRow="1" w:lastRow="0" w:firstColumn="1" w:lastColumn="0" w:noHBand="0" w:noVBand="1"/>
      </w:tblPr>
      <w:tblGrid>
        <w:gridCol w:w="1985"/>
        <w:gridCol w:w="7371"/>
      </w:tblGrid>
      <w:tr w:rsidR="002E1DDB" w:rsidRPr="002E1DDB" w:rsidTr="002E1DDB">
        <w:trPr>
          <w:tblCellSpacing w:w="0" w:type="dxa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0" w:type="dxa"/>
              <w:bottom w:w="0" w:type="dxa"/>
              <w:right w:w="46" w:type="dxa"/>
            </w:tcMar>
            <w:vAlign w:val="center"/>
            <w:hideMark/>
          </w:tcPr>
          <w:p w:rsidR="002E1DDB" w:rsidRPr="002E1DDB" w:rsidRDefault="002E1DDB" w:rsidP="002E1DDB">
            <w:pPr>
              <w:spacing w:after="0" w:line="240" w:lineRule="auto"/>
              <w:jc w:val="right"/>
              <w:rPr>
                <w:rFonts w:ascii="WipoUniExt" w:eastAsia="Times New Roman" w:hAnsi="WipoUniExt" w:cs="Times New Roman"/>
                <w:color w:val="FFFFFF"/>
                <w:sz w:val="16"/>
                <w:szCs w:val="16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color w:val="FFFFFF"/>
                <w:sz w:val="16"/>
                <w:szCs w:val="16"/>
                <w:lang w:eastAsia="ru-RU"/>
              </w:rPr>
              <w:t xml:space="preserve">Статус: </w:t>
            </w:r>
            <w:r w:rsidRPr="002E1DDB">
              <w:rPr>
                <w:rFonts w:ascii="WipoUniExt" w:eastAsia="Times New Roman" w:hAnsi="WipoUniExt" w:cs="Times New Roman"/>
                <w:color w:val="FFFFFF"/>
                <w:sz w:val="16"/>
                <w:szCs w:val="16"/>
                <w:lang w:eastAsia="ru-RU"/>
              </w:rPr>
              <w:br/>
              <w:t>Пошлина: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tcMar>
              <w:top w:w="0" w:type="dxa"/>
              <w:left w:w="0" w:type="dxa"/>
              <w:bottom w:w="0" w:type="dxa"/>
              <w:right w:w="46" w:type="dxa"/>
            </w:tcMar>
            <w:vAlign w:val="center"/>
            <w:hideMark/>
          </w:tcPr>
          <w:p w:rsidR="002E1DDB" w:rsidRPr="002E1DDB" w:rsidRDefault="002E1DDB" w:rsidP="002E1DDB">
            <w:pPr>
              <w:spacing w:after="0" w:line="240" w:lineRule="auto"/>
              <w:rPr>
                <w:rFonts w:ascii="WipoUniExt" w:eastAsia="Times New Roman" w:hAnsi="WipoUniExt" w:cs="Times New Roman"/>
                <w:color w:val="FFFFFF"/>
                <w:sz w:val="16"/>
                <w:szCs w:val="16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color w:val="FFFFFF"/>
                <w:sz w:val="16"/>
                <w:szCs w:val="16"/>
                <w:lang w:eastAsia="ru-RU"/>
              </w:rPr>
              <w:t xml:space="preserve">действует (последнее изменение статуса: 06.11.2019) </w:t>
            </w:r>
            <w:r w:rsidRPr="002E1DDB">
              <w:rPr>
                <w:rFonts w:ascii="WipoUniExt" w:eastAsia="Times New Roman" w:hAnsi="WipoUniExt" w:cs="Times New Roman"/>
                <w:color w:val="FFFFFF"/>
                <w:sz w:val="16"/>
                <w:szCs w:val="16"/>
                <w:lang w:eastAsia="ru-RU"/>
              </w:rPr>
              <w:br/>
              <w:t>учтена за 7 год с 16.11.2019 по 15.11.2020</w:t>
            </w:r>
          </w:p>
        </w:tc>
      </w:tr>
    </w:tbl>
    <w:p w:rsidR="002E1DDB" w:rsidRPr="002E1DDB" w:rsidRDefault="002E1DDB" w:rsidP="002E1DDB">
      <w:pPr>
        <w:shd w:val="clear" w:color="auto" w:fill="FFFFFF"/>
        <w:spacing w:line="240" w:lineRule="auto"/>
        <w:jc w:val="center"/>
        <w:rPr>
          <w:rFonts w:ascii="WipoUniExt" w:eastAsia="Times New Roman" w:hAnsi="WipoUniExt" w:cs="Times New Roman"/>
          <w:vanish/>
          <w:spacing w:val="6"/>
          <w:sz w:val="24"/>
          <w:szCs w:val="24"/>
          <w:lang w:eastAsia="ru-RU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E1DDB" w:rsidRPr="002E1DDB" w:rsidTr="002E1DDB">
        <w:trPr>
          <w:jc w:val="center"/>
        </w:trPr>
        <w:tc>
          <w:tcPr>
            <w:tcW w:w="2500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227" w:type="dxa"/>
              <w:left w:w="397" w:type="dxa"/>
              <w:bottom w:w="0" w:type="dxa"/>
              <w:right w:w="57" w:type="dxa"/>
            </w:tcMar>
            <w:hideMark/>
          </w:tcPr>
          <w:p w:rsidR="002E1DDB" w:rsidRPr="002E1DDB" w:rsidRDefault="002E1DDB" w:rsidP="002E1DDB">
            <w:pPr>
              <w:spacing w:after="17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>(</w:t>
            </w:r>
            <w:proofErr w:type="gramStart"/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>21)(</w:t>
            </w:r>
            <w:proofErr w:type="gramEnd"/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22) Заявка: </w:t>
            </w:r>
            <w:hyperlink r:id="rId7" w:tgtFrame="_blank" w:tooltip="Ссылка на реестр (открывается в отдельном окне)" w:history="1">
              <w:r w:rsidRPr="002E1DDB">
                <w:rPr>
                  <w:rFonts w:ascii="WipoUniExt" w:eastAsia="Times New Roman" w:hAnsi="WipoUniExt" w:cs="Times New Roman"/>
                  <w:b/>
                  <w:bCs/>
                  <w:color w:val="0000FF"/>
                  <w:spacing w:val="6"/>
                  <w:sz w:val="20"/>
                  <w:u w:val="single"/>
                  <w:lang w:eastAsia="ru-RU"/>
                </w:rPr>
                <w:t>2013151024/07</w:t>
              </w:r>
            </w:hyperlink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>, 15.11.2013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</w:p>
          <w:p w:rsidR="002E1DDB" w:rsidRPr="002E1DDB" w:rsidRDefault="002E1DDB" w:rsidP="002E1DDB">
            <w:pPr>
              <w:spacing w:after="17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(24) Дата начала отсчета срока действия патента: 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br/>
            </w:r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>15.11.2013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</w:p>
          <w:p w:rsidR="002E1DDB" w:rsidRPr="002E1DDB" w:rsidRDefault="002E1DDB" w:rsidP="002E1DDB">
            <w:pPr>
              <w:spacing w:after="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>Приоритет(ы):</w:t>
            </w:r>
          </w:p>
          <w:p w:rsidR="002E1DDB" w:rsidRPr="002E1DDB" w:rsidRDefault="002E1DDB" w:rsidP="002E1DDB">
            <w:pPr>
              <w:spacing w:after="17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(22) Дата подачи заявки: </w:t>
            </w:r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>15.11.2013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</w:p>
          <w:p w:rsidR="002E1DDB" w:rsidRPr="002E1DDB" w:rsidRDefault="002E1DDB" w:rsidP="002E1DDB">
            <w:pPr>
              <w:spacing w:after="17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(43) Дата публикации заявки: </w:t>
            </w:r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>20.05.2015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>Бюл</w:t>
            </w:r>
            <w:proofErr w:type="spellEnd"/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. № </w:t>
            </w:r>
            <w:hyperlink r:id="rId8" w:tgtFrame="_blank" w:tooltip="Ссылка на бюллетень (открывается в отдельном окне)" w:history="1">
              <w:r w:rsidRPr="002E1DDB">
                <w:rPr>
                  <w:rFonts w:ascii="WipoUniExt" w:eastAsia="Times New Roman" w:hAnsi="WipoUniExt" w:cs="Times New Roman"/>
                  <w:b/>
                  <w:bCs/>
                  <w:color w:val="0000FF"/>
                  <w:spacing w:val="6"/>
                  <w:sz w:val="20"/>
                  <w:u w:val="single"/>
                  <w:lang w:eastAsia="ru-RU"/>
                </w:rPr>
                <w:t>14</w:t>
              </w:r>
            </w:hyperlink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</w:p>
          <w:p w:rsidR="002E1DDB" w:rsidRPr="002E1DDB" w:rsidRDefault="002E1DDB" w:rsidP="002E1DDB">
            <w:pPr>
              <w:spacing w:after="17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(45) Опубликовано: </w:t>
            </w:r>
            <w:hyperlink r:id="rId9" w:tgtFrame="_blank" w:tooltip="Официальная публикация в формате PDF (открывается в отдельном окне)" w:history="1">
              <w:r w:rsidRPr="002E1DDB">
                <w:rPr>
                  <w:rFonts w:ascii="WipoUniExt" w:eastAsia="Times New Roman" w:hAnsi="WipoUniExt" w:cs="Times New Roman"/>
                  <w:b/>
                  <w:bCs/>
                  <w:color w:val="0000FF"/>
                  <w:spacing w:val="6"/>
                  <w:sz w:val="20"/>
                  <w:u w:val="single"/>
                  <w:lang w:eastAsia="ru-RU"/>
                </w:rPr>
                <w:t>27.10.2015</w:t>
              </w:r>
            </w:hyperlink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>Бюл</w:t>
            </w:r>
            <w:proofErr w:type="spellEnd"/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. № </w:t>
            </w:r>
            <w:hyperlink r:id="rId10" w:tgtFrame="_blank" w:tooltip="Ссылка на бюллетень (открывается в отдельном окне)" w:history="1">
              <w:r w:rsidRPr="002E1DDB">
                <w:rPr>
                  <w:rFonts w:ascii="WipoUniExt" w:eastAsia="Times New Roman" w:hAnsi="WipoUniExt" w:cs="Times New Roman"/>
                  <w:b/>
                  <w:bCs/>
                  <w:color w:val="0000FF"/>
                  <w:spacing w:val="6"/>
                  <w:sz w:val="20"/>
                  <w:u w:val="single"/>
                  <w:lang w:eastAsia="ru-RU"/>
                </w:rPr>
                <w:t>30</w:t>
              </w:r>
            </w:hyperlink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</w:p>
          <w:p w:rsidR="002E1DDB" w:rsidRPr="002E1DDB" w:rsidRDefault="002E1DDB" w:rsidP="002E1DDB">
            <w:pPr>
              <w:spacing w:after="17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(56) Список документов, цитированных в отчете о поиске: </w:t>
            </w:r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>RU 2214673 C2, 20.11.2002. RU 6956 U1, 16.06.1998. SU 1815776 A1, 15.05.1993. SU 191284 A2, 07.05.1984. EP 1610450 A2, 28.12.2005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</w:p>
          <w:p w:rsidR="002E1DDB" w:rsidRPr="002E1DDB" w:rsidRDefault="002E1DDB" w:rsidP="002E1DDB">
            <w:pPr>
              <w:spacing w:after="17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>Адрес для переписки: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br/>
            </w:r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>196158, Санкт-Петербург, Московское ш., 44, ФГУП "Крыловский государственный научный центр"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227" w:type="dxa"/>
              <w:left w:w="510" w:type="dxa"/>
              <w:bottom w:w="0" w:type="dxa"/>
              <w:right w:w="0" w:type="dxa"/>
            </w:tcMar>
            <w:hideMark/>
          </w:tcPr>
          <w:p w:rsidR="002E1DDB" w:rsidRPr="002E1DDB" w:rsidRDefault="002E1DDB" w:rsidP="002E1DDB">
            <w:pPr>
              <w:spacing w:after="17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>(72) Автор(ы):</w:t>
            </w:r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 xml:space="preserve"> </w:t>
            </w:r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br/>
            </w:r>
            <w:proofErr w:type="spellStart"/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>Гельвер</w:t>
            </w:r>
            <w:proofErr w:type="spellEnd"/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 xml:space="preserve"> Федор Андреевич (RU)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</w:p>
          <w:p w:rsidR="002E1DDB" w:rsidRPr="002E1DDB" w:rsidRDefault="002E1DDB" w:rsidP="002E1DDB">
            <w:pPr>
              <w:spacing w:after="170" w:line="312" w:lineRule="auto"/>
              <w:ind w:hanging="397"/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</w:pP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>(73) Патентообладатель(и):</w:t>
            </w:r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t xml:space="preserve"> </w:t>
            </w:r>
            <w:r w:rsidRPr="002E1DDB">
              <w:rPr>
                <w:rFonts w:ascii="WipoUniExt" w:eastAsia="Times New Roman" w:hAnsi="WipoUniExt" w:cs="Times New Roman"/>
                <w:b/>
                <w:bCs/>
                <w:spacing w:val="6"/>
                <w:sz w:val="20"/>
                <w:szCs w:val="20"/>
                <w:lang w:eastAsia="ru-RU"/>
              </w:rPr>
              <w:br/>
              <w:t>Федеральное государственное унитарное предприятие "Крыловский государственный научный центр" (RU)</w:t>
            </w:r>
            <w:r w:rsidRPr="002E1DDB">
              <w:rPr>
                <w:rFonts w:ascii="WipoUniExt" w:eastAsia="Times New Roman" w:hAnsi="WipoUniExt" w:cs="Times New Roman"/>
                <w:spacing w:val="6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E1DDB" w:rsidRPr="002E1DDB" w:rsidRDefault="002E1DDB" w:rsidP="002E1DDB">
      <w:pPr>
        <w:shd w:val="clear" w:color="auto" w:fill="FFFFFF"/>
        <w:spacing w:before="170" w:after="0" w:line="240" w:lineRule="auto"/>
        <w:rPr>
          <w:rFonts w:ascii="WipoUniExt" w:eastAsia="Times New Roman" w:hAnsi="WipoUniExt" w:cs="Times New Roman"/>
          <w:spacing w:val="6"/>
          <w:sz w:val="20"/>
          <w:szCs w:val="20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0"/>
          <w:szCs w:val="20"/>
          <w:lang w:eastAsia="ru-RU"/>
        </w:rPr>
        <w:t xml:space="preserve">(54) </w:t>
      </w:r>
      <w:r w:rsidRPr="002E1DDB">
        <w:rPr>
          <w:rFonts w:ascii="WipoUniExt" w:eastAsia="Times New Roman" w:hAnsi="WipoUniExt" w:cs="Times New Roman"/>
          <w:b/>
          <w:bCs/>
          <w:spacing w:val="6"/>
          <w:sz w:val="20"/>
          <w:szCs w:val="20"/>
          <w:lang w:eastAsia="ru-RU"/>
        </w:rPr>
        <w:t>ОБРАТИМЫЙ ИНВЕРТИРУЮЩИЙ ПРЕОБРАЗОВАТЕЛЬ ПОСТОЯННОГО НАПРЯЖЕНИЯ</w:t>
      </w:r>
      <w:r w:rsidRPr="002E1DDB">
        <w:rPr>
          <w:rFonts w:ascii="WipoUniExt" w:eastAsia="Times New Roman" w:hAnsi="WipoUniExt" w:cs="Times New Roman"/>
          <w:spacing w:val="6"/>
          <w:sz w:val="20"/>
          <w:szCs w:val="20"/>
          <w:lang w:eastAsia="ru-RU"/>
        </w:rPr>
        <w:t xml:space="preserve"> 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jc w:val="both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(57) Реферат: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jc w:val="both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Изобретение относится к системам электропитания, в частности к электрическим преобразователям постоянного напряжения в постоянное напряжение иной полярности заданного уровня как выше, так и ниже уровня напряжения источника питания, и может быть использовано для электроснабжения активной нагрузки с возможностью рекуперации энергии. Технический результат заключается в реализации электрического преобразователя постоянного напряжения в постоянное напряжение иной полярности заданного уровня как выше, так и ниже уровня напряжения источника питания, а также возможности осуществления рекуперации электрической энергии от активной нагрузки в источник питания для его подзарядки. Для этого заявленное устройство снабжено дополнительным диодом, транзистором и конденсатором. Изменяя скважность работы транзисторов, можно осуществлять изменение или стабилизацию уровня выходного напряжения с изменением полярности напряжения относительно входного, а также осуществлять регулирование тока заряда источника питания от энергии накопленной активной нагрузкой. Таким 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lastRenderedPageBreak/>
        <w:t>образом, обратимый инвертирующий преобразователь постоянного напряжения имеет симметричную схему построения относительно входа и выхода и обладает возможностью пропускать электрическую энергию в обе стороны. 2 ил.</w:t>
      </w:r>
      <w:r>
        <w:rPr>
          <w:rFonts w:ascii="WipoUniExt" w:eastAsia="Times New Roman" w:hAnsi="WipoUniExt" w:cs="Times New Roman"/>
          <w:noProof/>
          <w:color w:val="0000FF"/>
          <w:spacing w:val="6"/>
          <w:sz w:val="24"/>
          <w:szCs w:val="24"/>
          <w:lang w:eastAsia="ru-RU"/>
        </w:rPr>
        <w:drawing>
          <wp:inline distT="0" distB="0" distL="0" distR="0">
            <wp:extent cx="5903595" cy="3167380"/>
            <wp:effectExtent l="19050" t="0" r="1905" b="0"/>
            <wp:docPr id="2" name="Рисунок 2" descr="https://www1.fips.ru/Archive/PAT/2015FULL/2015.10.27/DOC/RUNWC2/000/000/002/566/687/00000002-m.gif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1.fips.ru/Archive/PAT/2015FULL/2015.10.27/DOC/RUNWC2/000/000/002/566/687/00000002-m.gif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316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 </w:t>
      </w:r>
    </w:p>
    <w:p w:rsidR="002E1DDB" w:rsidRPr="002E1DDB" w:rsidRDefault="002E1DDB" w:rsidP="002E1DDB">
      <w:pPr>
        <w:shd w:val="clear" w:color="auto" w:fill="FFFFFF"/>
        <w:spacing w:after="0" w:line="240" w:lineRule="auto"/>
        <w:jc w:val="center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Предложение относится к системам электропитания, в частности к электрическим преобразователям постоянного напряжения в постоянное напряжение иной полярности заданного уровня как выше, так и ниже уровня напряжения источника питания, и может быть использовано для электроснабжения активной нагрузки с возможностью рекуперации энергии. Рекуперация энергии от активной нагрузки в источник питания может быть использована для подзарядки химического источника питания.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Известно устройство инвертирующего преобразователя постоянного напряжения [</w:t>
      </w:r>
      <w:proofErr w:type="spellStart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Моин</w:t>
      </w:r>
      <w:proofErr w:type="spellEnd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 B.C. Стабилизированные транзисторные преобразователи. - М.: </w:t>
      </w:r>
      <w:proofErr w:type="spellStart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Энергоатомиздат</w:t>
      </w:r>
      <w:proofErr w:type="spellEnd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, 1986. с.13 и с.121 или Семенов Б.Ю. Силовая электроника от простого к сложному. - М.: СОЛОН-Пресс, 2005, с.257], содержащее входной и выходной накопительные конденсаторы, транзистор, накопительный дроссель и диод. Недостатком известного устройства является то, что в зависимости от скважности и нагрузки он может работать в режимах прерывистого и непрерывного тока индуктивности. В этих режимах статические и динамические свойства преобразователя различаются, поэтому работа преобразователя будет происходить с разной эффективностью.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Наиболее близким по технической сущности к заявляемому устройству является выбранное в качестве прототипа устройство инвертирующего преобразователя постоянного напряжения [МПК H02M 3/10, патент RU 2214673 C2, заявка: 2000127778/09, 04.11.2000, </w:t>
      </w:r>
      <w:proofErr w:type="spellStart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Исхаков</w:t>
      </w:r>
      <w:proofErr w:type="spellEnd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 В.А. Инвертирующий преобразователь постоянного напряжения], содержащее два входных и два выходных зажима, два управляемых ключа, катушку индуктивности, диод и конденсатор. Известное устройство исключено недостатков, отмеченных ранее. К недостаткам заявленного устройства можно отнести то, что при такой схемной реализации невозможно осуществить рекуперацию энергии от активной нагрузки в источник питания.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Предлагаемый инвертирующий преобразователь постоянного напряжения в постоянное, позволяет изменять полярность и уровень выходного напряжения как выше, так и ниже уровня входного напряжения, а также осуществлять рекуперацию электрической энергии от активной нагрузки в источник питания. К достоинствам 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lastRenderedPageBreak/>
        <w:t>предлагаемого электрического преобразователя можно также отнести возможность осуществлять регулирование потока рекуперируемой энергии.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Описанные преимущества достигаются тем, что электрический преобразователь снабжен дополнительным диодом, транзистором и входным конденсатором. Изменяя скважность работы транзисторов, можно осуществлять изменение или стабилизацию уровня выходного напряжения относительно входного, а также осуществлять регулирование тока заряда источника питания от энергии, запасенной в активной нагрузке.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Обратимый инвертирующий преобразователь постоянного напряжения, схема которого представлена на Фиг. 1, состоит из двух входных 1, 2 и двух выходных 3, 4 зажимов, предназначенных для соединения с источником питания 5 и нагрузкой 6 соответственно, содержащий транзистор 7, накопительный дроссель 8, диод 9 и выходной конденсатор 10. Коллектор транзистора 7 соединен с положительным входным зажимом 1, эмиттер транзистора 7 соединен с катодом диода 9 и первым выводом накопительного дросселя 8. Отрицательный вывод 2 входного и положительный вывод 4 выходного зажимов соединены между собой и соединены с положительным выводом выходного конденсатора 10 и вторым выводом накопительного дросселя 8, а отрицательный вывод конденсатора 10 соединен с анодом диода 9. Обратимый инвертирующий преобразователь снабжен дополнительным диодом 11, транзистором 12 и входным конденсатором 13. Эмиттер введенного транзистора 12 соединен с анодом первого диода 9 и отрицательным выходным зажимом 3, а коллектор этого транзистора 12 соединен с эмиттером первого транзистора 7, катодом первого диода 9, первым выводом накопительного дросселя 8 и анодом вновь введенного диода 11. Катод введенного диода 11 соединен с положительным выводом входного зажима 1 и положительным выводом входного конденсатора 13, отрицательный вывод которого соединен с отрицательным выводом входного зажима 2.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Работа схемы электрического преобразователя происходит следующим образом. В режиме, когда энергия идет от источника питания 5 в нагрузку 6, при необходимости регулирования или стабилизации уровня выходного напряжения (напряжения на нагрузке) относительно входного транзистор 7 работает в ключевом режиме со скважностью γ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7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 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γ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7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=t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7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/T;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при этом напряжение на выходе преобразователя определяется согласно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>
        <w:rPr>
          <w:rFonts w:ascii="WipoUniExt" w:eastAsia="Times New Roman" w:hAnsi="WipoUniExt" w:cs="Times New Roman"/>
          <w:noProof/>
          <w:color w:val="0000FF"/>
          <w:spacing w:val="6"/>
          <w:sz w:val="24"/>
          <w:szCs w:val="24"/>
          <w:lang w:eastAsia="ru-RU"/>
        </w:rPr>
        <w:drawing>
          <wp:inline distT="0" distB="0" distL="0" distR="0">
            <wp:extent cx="1448435" cy="504825"/>
            <wp:effectExtent l="19050" t="0" r="0" b="0"/>
            <wp:docPr id="3" name="Рисунок 3" descr="https://www1.fips.ru/Archive/PAT/2015FULL/2015.10.27/DOC/RUNWC2/000/000/002/566/687/00000001-m.jpg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1.fips.ru/Archive/PAT/2015FULL/2015.10.27/DOC/RUNWC2/000/000/002/566/687/00000001-m.jpg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где t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7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 - время замкнутого состояния транзистора 7, T - период повторяемости импульсов, </w:t>
      </w:r>
      <w:proofErr w:type="spellStart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U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вых</w:t>
      </w:r>
      <w:proofErr w:type="spellEnd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 - требуемый уровень выходного напряжения, </w:t>
      </w:r>
      <w:proofErr w:type="spellStart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U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вх</w:t>
      </w:r>
      <w:proofErr w:type="spellEnd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 - уровень входного напряжения.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При этом транзистор 12 закрыт. В тот момент времени, когда транзистор 7 включен, происходит накопление энергии в дросселе 8. Ток заряда течет по цепи "плюс" источника питания 5 и входного конденсатора 13 через транзистор 7 накопительный дроссель 8 и на "минус" источника питания 5 и входного конденсатора 13. При этом ток через дроссель 8 нарастает по линейному закону. После закрытия транзистора 7 энергия, накопленная в дросселе 8, передается в нагрузку 6 и на заряд выходного конденсатора 10. С учетом первого закона коммутации о том, что ток через индуктивность дросселя 8 не может измениться скачком, то цепь для протекания тока накопительного дросселя образуется через нагрузку 6 и параллельно подключенный выходной конденсатор 10, диод 9 и обратно на дроссель 8. В результате чего происходит заряд накопительного конденсатора 10 и нарастание напряжения на нагрузке 6. При этом при γ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7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&lt;0,5 схема работает с 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lastRenderedPageBreak/>
        <w:t>понижением уровня выходного напряжения относительно входного, при γ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7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&gt;0,5 - с повышением, и при γ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7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=0,5 с равенством уровня выходного напряжения входному.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Таким образом, происходит передача энергии от источника в нагрузку, осуществляемая через промежуточный накопитель электрической энергии - накопительный дроссель 8.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В случае, когда нагрузка носит активный характер и может работать в генераторном режиме работы можно использовать этот режим работы для отдачи энергии в химический источник питания 5, тем самым повысив энергетическую эффективность всей энергоустановки, что особенно актуально для автономных систем электроснабжения. Такой тип нагрузки характерен для электромеханических преобразователей, </w:t>
      </w:r>
      <w:proofErr w:type="gramStart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например</w:t>
      </w:r>
      <w:proofErr w:type="gramEnd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 электрических машин постоянного тока в случае ее перехода в генераторный режим работы.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Работа схемы в таком режиме происходит следующим образом. При необходимости рекуперации энергии от нагрузки 6, работающей в генераторном режиме, в источник питания 5 транзистор 12 работает в ключевом режиме со скважностью γ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12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=t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vertAlign w:val="subscript"/>
          <w:lang w:eastAsia="ru-RU"/>
        </w:rPr>
        <w:t>12</w:t>
      </w: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/Т. При этом транзистор 7 работает со скважностью, равной 0, то есть закрыт. Таким образом, в случае рекуперации энергии от активной нагрузки 6 в источник питания 5 функции управления ключами - транзисторами 7 и 12 меняются местами. Скважность работы транзистора 12 должна быть такой, чтобы ток заряда источника питания 5 соответствовал требуемому значению.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Таким образом, используя промежуточный накопитель энергии - накопительный дроссель 8, транзисторы 7, 12 и отсекающие диоды 11 и 9 можно реализовать двунаправленный обмен энергиями с инвертированием напряжения между источником питания и активной нагрузкой. Схему, изображенную на Фиг. 1, можно перерисовать согласно Фиг. 2, при этом все процессы, происходящие на Фиг. 1, справедливы и для Фиг. 2. Схема на Фиг. 2 является абсолютно симметричной и универсальной относительно входа и выхода и более наглядно отображает смысл и физику </w:t>
      </w:r>
      <w:proofErr w:type="gramStart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процессов</w:t>
      </w:r>
      <w:proofErr w:type="gramEnd"/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 происходящих в обратимом инвертирующем преобразователе постоянного напряжения.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Таким образом, обратимый инвертирующий преобразователь постоянного напряжения имеет симметричную схему построения относительно входа и выхода и обладает возможностью пропускать электрическую энергию в обе стороны.</w:t>
      </w:r>
    </w:p>
    <w:p w:rsidR="002E1DDB" w:rsidRPr="002E1DDB" w:rsidRDefault="002E1DDB" w:rsidP="002E1DDB">
      <w:pPr>
        <w:shd w:val="clear" w:color="auto" w:fill="FFFFFF"/>
        <w:spacing w:after="0" w:line="240" w:lineRule="auto"/>
        <w:jc w:val="center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>Формула изобретения</w:t>
      </w:r>
    </w:p>
    <w:p w:rsidR="002E1DDB" w:rsidRPr="002E1DDB" w:rsidRDefault="002E1DDB" w:rsidP="002E1DDB">
      <w:pPr>
        <w:shd w:val="clear" w:color="auto" w:fill="FFFFFF"/>
        <w:spacing w:after="0" w:line="240" w:lineRule="auto"/>
        <w:ind w:firstLine="284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 w:rsidRPr="002E1DDB"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  <w:t xml:space="preserve">Обратимый инвертирующий преобразователь постоянного напряжения, имеющий два входных и два выходных зажима для соединения с источником питания и нагрузкой соответственно, содержащий транзистор, накопительный дроссель, диод и выходной конденсатор, причем коллектор транзистора соединен с положительным входным зажимом, эмиттер транзистора соединен с катодом диода и первым выводом накопительного дросселя, а отрицательный вывод входного и положительный вывод выходного зажимов соединены между собой и соединены с положительным выводом выходного конденсатора и вторым выводом накопительного дросселя, а отрицательный вывод конденсатора соединен с анодом диода, отличающийся тем, что преобразователь снабжен дополнительными диодом, транзистором и входным конденсатором, эмиттер введенного транзистора соединен с анодом первого диода и отрицательным выходным зажимом, а коллектор этого транзистора соединен с эмиттером первого транзистора, катодом первого диода, первым выводом накопительного дросселя и анодом введенного диода, катод которого соединен с положительным выводом входного зажима и положительным выводом входного конденсатора, отрицательный вывод которого соединен с отрицательным выводом входного зажима. </w:t>
      </w:r>
    </w:p>
    <w:p w:rsidR="002E1DDB" w:rsidRPr="002E1DDB" w:rsidRDefault="002E1DDB" w:rsidP="002E1DDB">
      <w:pPr>
        <w:shd w:val="clear" w:color="auto" w:fill="FFFFFF"/>
        <w:spacing w:line="240" w:lineRule="auto"/>
        <w:jc w:val="center"/>
        <w:rPr>
          <w:rFonts w:ascii="WipoUniExt" w:eastAsia="Times New Roman" w:hAnsi="WipoUniExt" w:cs="Times New Roman"/>
          <w:spacing w:val="6"/>
          <w:sz w:val="24"/>
          <w:szCs w:val="24"/>
          <w:lang w:eastAsia="ru-RU"/>
        </w:rPr>
      </w:pPr>
      <w:r>
        <w:rPr>
          <w:rFonts w:ascii="WipoUniExt" w:eastAsia="Times New Roman" w:hAnsi="WipoUniExt" w:cs="Times New Roman"/>
          <w:noProof/>
          <w:color w:val="0000FF"/>
          <w:spacing w:val="6"/>
          <w:sz w:val="24"/>
          <w:szCs w:val="24"/>
          <w:lang w:eastAsia="ru-RU"/>
        </w:rPr>
        <w:lastRenderedPageBreak/>
        <w:drawing>
          <wp:inline distT="0" distB="0" distL="0" distR="0">
            <wp:extent cx="5888990" cy="3021330"/>
            <wp:effectExtent l="19050" t="0" r="0" b="0"/>
            <wp:docPr id="4" name="Рисунок 4" descr="https://www1.fips.ru/Archive/PAT/2015FULL/2015.10.27/DOC/RUNWC2/000/000/002/566/687/00000003-m.gif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1.fips.ru/Archive/PAT/2015FULL/2015.10.27/DOC/RUNWC2/000/000/002/566/687/00000003-m.gif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302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1DDB" w:rsidRPr="002E1DDB" w:rsidSect="00B56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poUniExt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15339"/>
    <w:multiLevelType w:val="multilevel"/>
    <w:tmpl w:val="E29E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DDB"/>
    <w:rsid w:val="00136BE4"/>
    <w:rsid w:val="00160B64"/>
    <w:rsid w:val="002E1DDB"/>
    <w:rsid w:val="005418DE"/>
    <w:rsid w:val="005F1405"/>
    <w:rsid w:val="00976A51"/>
    <w:rsid w:val="00B5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CCA9EA-C373-4A18-9DBB-DEC20C838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1DDB"/>
    <w:rPr>
      <w:color w:val="0000FF"/>
      <w:u w:val="single"/>
    </w:rPr>
  </w:style>
  <w:style w:type="character" w:customStyle="1" w:styleId="nazv">
    <w:name w:val="nazv"/>
    <w:basedOn w:val="a0"/>
    <w:rsid w:val="002E1DDB"/>
    <w:rPr>
      <w:sz w:val="16"/>
      <w:szCs w:val="16"/>
    </w:rPr>
  </w:style>
  <w:style w:type="character" w:customStyle="1" w:styleId="i1">
    <w:name w:val="i1"/>
    <w:basedOn w:val="a0"/>
    <w:rsid w:val="002E1DDB"/>
    <w:rPr>
      <w:b/>
      <w:bCs/>
      <w:i/>
      <w:iCs/>
      <w:sz w:val="21"/>
      <w:szCs w:val="21"/>
    </w:rPr>
  </w:style>
  <w:style w:type="paragraph" w:customStyle="1" w:styleId="titcla1">
    <w:name w:val="titcla1"/>
    <w:basedOn w:val="a"/>
    <w:rsid w:val="002E1DDB"/>
    <w:pPr>
      <w:spacing w:after="0" w:line="240" w:lineRule="auto"/>
      <w:jc w:val="center"/>
    </w:pPr>
    <w:rPr>
      <w:rFonts w:ascii="WipoUniExt" w:eastAsia="Times New Roman" w:hAnsi="WipoUniExt" w:cs="Times New Roman"/>
      <w:spacing w:val="6"/>
      <w:sz w:val="24"/>
      <w:szCs w:val="24"/>
      <w:lang w:eastAsia="ru-RU"/>
    </w:rPr>
  </w:style>
  <w:style w:type="paragraph" w:customStyle="1" w:styleId="prior2">
    <w:name w:val="prior2"/>
    <w:basedOn w:val="a"/>
    <w:rsid w:val="002E1DDB"/>
    <w:pPr>
      <w:spacing w:after="0" w:line="240" w:lineRule="auto"/>
      <w:ind w:hanging="397"/>
    </w:pPr>
    <w:rPr>
      <w:rFonts w:ascii="WipoUniExt" w:eastAsia="Times New Roman" w:hAnsi="WipoUniExt" w:cs="Times New Roman"/>
      <w:spacing w:val="6"/>
      <w:sz w:val="20"/>
      <w:szCs w:val="20"/>
      <w:lang w:eastAsia="ru-RU"/>
    </w:rPr>
  </w:style>
  <w:style w:type="paragraph" w:customStyle="1" w:styleId="titabs1">
    <w:name w:val="titabs1"/>
    <w:basedOn w:val="a"/>
    <w:rsid w:val="002E1DDB"/>
    <w:pPr>
      <w:spacing w:after="0" w:line="240" w:lineRule="auto"/>
      <w:ind w:firstLine="284"/>
      <w:jc w:val="both"/>
    </w:pPr>
    <w:rPr>
      <w:rFonts w:ascii="WipoUniExt" w:eastAsia="Times New Roman" w:hAnsi="WipoUniExt" w:cs="Times New Roman"/>
      <w:spacing w:val="6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1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1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8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34462">
          <w:marLeft w:val="1418"/>
          <w:marRight w:val="1134"/>
          <w:marTop w:val="1021"/>
          <w:marBottom w:val="14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2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77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fips.ru/Archive/PAT/2015FULL/2015.05.20/Index_ru.htm%0A%09%09%09%09%09%09%09" TargetMode="External"/><Relationship Id="rId13" Type="http://schemas.openxmlformats.org/officeDocument/2006/relationships/hyperlink" Target="https://www1.fips.ru/Archive/PAT/2015FULL/2015.10.27/DOC/RUNWC2/000/000/002/566/687/00000001.ti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1.fips.ru/registers-doc-view/fips_servlet?DB=RUPATAP&amp;DocNumber=2013151024/07&amp;TypeFile=html" TargetMode="External"/><Relationship Id="rId12" Type="http://schemas.openxmlformats.org/officeDocument/2006/relationships/image" Target="media/image1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gif"/><Relationship Id="rId1" Type="http://schemas.openxmlformats.org/officeDocument/2006/relationships/numbering" Target="numbering.xml"/><Relationship Id="rId6" Type="http://schemas.openxmlformats.org/officeDocument/2006/relationships/hyperlink" Target="https://www1.fips.ru/publication-web/classification/mpk?view=detail&amp;edition=2018&amp;symbol=H02M" TargetMode="External"/><Relationship Id="rId11" Type="http://schemas.openxmlformats.org/officeDocument/2006/relationships/hyperlink" Target="https://www1.fips.ru/Archive/PAT/2015FULL/2015.10.27/DOC/RUNWC2/000/000/002/566/687/00000002.tif" TargetMode="External"/><Relationship Id="rId5" Type="http://schemas.openxmlformats.org/officeDocument/2006/relationships/hyperlink" Target="https://www1.fips.ru/publication-web/classification/mpk?view=detail&amp;edition=2018&amp;symbol=H02M" TargetMode="External"/><Relationship Id="rId15" Type="http://schemas.openxmlformats.org/officeDocument/2006/relationships/hyperlink" Target="https://www1.fips.ru/Archive/PAT/2015FULL/2015.10.27/DOC/RUNWC2/000/000/002/566/687/00000003.tif" TargetMode="External"/><Relationship Id="rId10" Type="http://schemas.openxmlformats.org/officeDocument/2006/relationships/hyperlink" Target="https://www1.fips.ru/Archive/PAT/2015FULL/2015.10.27/Index_ru.htm%0A%09%09%09%09%09%09%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1.fips.ru/Archive/PAT/2015FULL/2015.10.27/DOC/RUNWC2/000/000/002/566/687/DOCUMENT.PDF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1873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iL</Company>
  <LinksUpToDate>false</LinksUpToDate>
  <CharactersWithSpaces>12530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Пользователь Windows</cp:lastModifiedBy>
  <cp:revision>2</cp:revision>
  <dcterms:created xsi:type="dcterms:W3CDTF">2020-01-17T20:55:00Z</dcterms:created>
  <dcterms:modified xsi:type="dcterms:W3CDTF">2020-01-17T20:55:00Z</dcterms:modified>
</cp:coreProperties>
</file>