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727" w:rsidRDefault="00382779">
      <w:r>
        <w:t xml:space="preserve">30 июля 2017 г.                                                                                                                     </w:t>
      </w:r>
      <w:proofErr w:type="spellStart"/>
      <w:r>
        <w:t>г.Витебск</w:t>
      </w:r>
      <w:proofErr w:type="spellEnd"/>
      <w:r>
        <w:t>.</w:t>
      </w:r>
    </w:p>
    <w:p w:rsidR="00382779" w:rsidRDefault="00382779">
      <w:r>
        <w:t xml:space="preserve">   </w:t>
      </w:r>
    </w:p>
    <w:p w:rsidR="00382779" w:rsidRDefault="0038277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ЭФФЕКТ ЗВУКОСНИМАТЕЛЯ, И ПАРАМАГНЕТИК.</w:t>
      </w:r>
    </w:p>
    <w:p w:rsidR="00382779" w:rsidRDefault="00D86220">
      <w:pPr>
        <w:rPr>
          <w:sz w:val="18"/>
          <w:szCs w:val="18"/>
        </w:rPr>
      </w:pPr>
      <w:r>
        <w:rPr>
          <w:sz w:val="18"/>
          <w:szCs w:val="18"/>
        </w:rPr>
        <w:t xml:space="preserve">Сегодня провёл сравнительную характеристику наведения ЭДС в катушке индуктивности намотанной на постоянном магните, при приближении и удалении к ним цилиндрических образцов из различных материалов, таких как ферромагнетик и парамагнетик. </w:t>
      </w:r>
    </w:p>
    <w:p w:rsidR="00444ED8" w:rsidRDefault="00444ED8">
      <w:pPr>
        <w:rPr>
          <w:sz w:val="18"/>
          <w:szCs w:val="18"/>
        </w:rPr>
      </w:pPr>
      <w:r>
        <w:rPr>
          <w:sz w:val="18"/>
          <w:szCs w:val="18"/>
        </w:rPr>
        <w:t>Эпюры полученных результатов фиксировал при помощи осциллографа, что и попытался зарисовать на ниже приведённых рисунках.</w:t>
      </w:r>
    </w:p>
    <w:p w:rsidR="00B35AC1" w:rsidRDefault="00B35AC1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5937250" cy="2524125"/>
            <wp:effectExtent l="0" t="0" r="635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01D" w:rsidRDefault="000F301D">
      <w:pPr>
        <w:rPr>
          <w:sz w:val="20"/>
          <w:szCs w:val="20"/>
        </w:rPr>
      </w:pPr>
    </w:p>
    <w:p w:rsidR="000F301D" w:rsidRDefault="000F301D">
      <w:pPr>
        <w:rPr>
          <w:sz w:val="20"/>
          <w:szCs w:val="20"/>
        </w:rPr>
      </w:pPr>
    </w:p>
    <w:p w:rsidR="000F301D" w:rsidRDefault="000F301D">
      <w:pPr>
        <w:rPr>
          <w:sz w:val="20"/>
          <w:szCs w:val="20"/>
        </w:rPr>
      </w:pPr>
      <w:bookmarkStart w:id="0" w:name="_GoBack"/>
      <w:bookmarkEnd w:id="0"/>
    </w:p>
    <w:p w:rsidR="00B35AC1" w:rsidRDefault="00B35AC1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5930900" cy="2620645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262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AC1" w:rsidRDefault="00B35AC1">
      <w:pPr>
        <w:rPr>
          <w:sz w:val="20"/>
          <w:szCs w:val="20"/>
        </w:rPr>
      </w:pPr>
      <w:r>
        <w:rPr>
          <w:sz w:val="20"/>
          <w:szCs w:val="20"/>
        </w:rPr>
        <w:t>На первых четырёх рисунках изображено наведение ЭДС в катушке индуктивности</w:t>
      </w:r>
      <w:r w:rsidR="00B74E04">
        <w:rPr>
          <w:sz w:val="20"/>
          <w:szCs w:val="20"/>
        </w:rPr>
        <w:t xml:space="preserve"> (смотрим эпюры)</w:t>
      </w:r>
      <w:r>
        <w:rPr>
          <w:sz w:val="20"/>
          <w:szCs w:val="20"/>
        </w:rPr>
        <w:t xml:space="preserve">, намотанной на постоянном магните аксиальной намагниченности, при приближении и удалении </w:t>
      </w:r>
      <w:r w:rsidR="00B74E04">
        <w:rPr>
          <w:sz w:val="20"/>
          <w:szCs w:val="20"/>
        </w:rPr>
        <w:t>ферро магнитного материала.</w:t>
      </w:r>
    </w:p>
    <w:p w:rsidR="002B7B87" w:rsidRDefault="002B7B87">
      <w:pPr>
        <w:rPr>
          <w:sz w:val="20"/>
          <w:szCs w:val="20"/>
        </w:rPr>
      </w:pPr>
    </w:p>
    <w:p w:rsidR="002B7B87" w:rsidRDefault="002B7B87">
      <w:pPr>
        <w:rPr>
          <w:sz w:val="20"/>
          <w:szCs w:val="20"/>
        </w:rPr>
      </w:pPr>
    </w:p>
    <w:p w:rsidR="002B7B87" w:rsidRDefault="002B7B87">
      <w:pPr>
        <w:rPr>
          <w:sz w:val="20"/>
          <w:szCs w:val="20"/>
        </w:rPr>
      </w:pPr>
    </w:p>
    <w:p w:rsidR="002B7B87" w:rsidRDefault="002B7B87">
      <w:pPr>
        <w:rPr>
          <w:sz w:val="20"/>
          <w:szCs w:val="20"/>
        </w:rPr>
      </w:pPr>
    </w:p>
    <w:p w:rsidR="002B7B87" w:rsidRDefault="002B7B87">
      <w:pPr>
        <w:rPr>
          <w:sz w:val="20"/>
          <w:szCs w:val="20"/>
        </w:rPr>
      </w:pPr>
      <w:r>
        <w:rPr>
          <w:sz w:val="20"/>
          <w:szCs w:val="20"/>
        </w:rPr>
        <w:t>На следующих четырёх рисунках эпюры при приближении и удалении цилиндрического образца из чистого алюминия.</w:t>
      </w:r>
    </w:p>
    <w:p w:rsidR="002B7B87" w:rsidRDefault="002B7B87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5937250" cy="2524125"/>
            <wp:effectExtent l="0" t="0" r="635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B87" w:rsidRDefault="002B7B87">
      <w:pPr>
        <w:rPr>
          <w:sz w:val="20"/>
          <w:szCs w:val="20"/>
        </w:rPr>
      </w:pPr>
    </w:p>
    <w:p w:rsidR="002B7B87" w:rsidRDefault="002B7B87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5937250" cy="2698115"/>
            <wp:effectExtent l="0" t="0" r="635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69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7A6" w:rsidRDefault="00CD17A6">
      <w:pPr>
        <w:rPr>
          <w:sz w:val="20"/>
          <w:szCs w:val="20"/>
        </w:rPr>
      </w:pPr>
    </w:p>
    <w:p w:rsidR="00CD17A6" w:rsidRDefault="00CD17A6">
      <w:pPr>
        <w:rPr>
          <w:sz w:val="20"/>
          <w:szCs w:val="20"/>
        </w:rPr>
      </w:pPr>
    </w:p>
    <w:p w:rsidR="00CE77A5" w:rsidRDefault="00CE77A5">
      <w:pPr>
        <w:rPr>
          <w:sz w:val="20"/>
          <w:szCs w:val="20"/>
        </w:rPr>
      </w:pPr>
    </w:p>
    <w:p w:rsidR="002B7B87" w:rsidRDefault="006B4E13">
      <w:pPr>
        <w:rPr>
          <w:sz w:val="20"/>
          <w:szCs w:val="20"/>
        </w:rPr>
      </w:pPr>
      <w:r>
        <w:rPr>
          <w:sz w:val="20"/>
          <w:szCs w:val="20"/>
        </w:rPr>
        <w:t xml:space="preserve">Мне показался интересным результат с приближающимся и удаляющимся парамагнетиком. </w:t>
      </w:r>
    </w:p>
    <w:p w:rsidR="006B4E13" w:rsidRDefault="006B4E13">
      <w:pPr>
        <w:rPr>
          <w:sz w:val="20"/>
          <w:szCs w:val="20"/>
        </w:rPr>
      </w:pPr>
      <w:r>
        <w:rPr>
          <w:sz w:val="20"/>
          <w:szCs w:val="20"/>
        </w:rPr>
        <w:t>Из эпюр видно</w:t>
      </w:r>
      <w:r w:rsidR="003D787F">
        <w:rPr>
          <w:sz w:val="20"/>
          <w:szCs w:val="20"/>
        </w:rPr>
        <w:t>,</w:t>
      </w:r>
      <w:r>
        <w:rPr>
          <w:sz w:val="20"/>
          <w:szCs w:val="20"/>
        </w:rPr>
        <w:t xml:space="preserve"> как ЭДС в катушке меняет своё направление за один цикл, причём при приближении </w:t>
      </w:r>
      <w:r w:rsidR="003D787F">
        <w:rPr>
          <w:sz w:val="20"/>
          <w:szCs w:val="20"/>
        </w:rPr>
        <w:t xml:space="preserve">и удалении </w:t>
      </w:r>
      <w:r>
        <w:rPr>
          <w:sz w:val="20"/>
          <w:szCs w:val="20"/>
        </w:rPr>
        <w:t>парамагнетика ЭДС</w:t>
      </w:r>
      <w:r w:rsidR="003D787F">
        <w:rPr>
          <w:sz w:val="20"/>
          <w:szCs w:val="20"/>
        </w:rPr>
        <w:t xml:space="preserve"> в катушке</w:t>
      </w:r>
      <w:r>
        <w:rPr>
          <w:sz w:val="20"/>
          <w:szCs w:val="20"/>
        </w:rPr>
        <w:t xml:space="preserve"> изначально </w:t>
      </w:r>
      <w:r w:rsidR="003D787F">
        <w:rPr>
          <w:sz w:val="20"/>
          <w:szCs w:val="20"/>
        </w:rPr>
        <w:t xml:space="preserve">наводится </w:t>
      </w:r>
      <w:r>
        <w:rPr>
          <w:sz w:val="20"/>
          <w:szCs w:val="20"/>
        </w:rPr>
        <w:t>противоположного знака</w:t>
      </w:r>
      <w:r w:rsidR="003D787F">
        <w:rPr>
          <w:sz w:val="20"/>
          <w:szCs w:val="20"/>
        </w:rPr>
        <w:t xml:space="preserve"> в отличии от ферромагнетика. </w:t>
      </w:r>
      <w:r>
        <w:rPr>
          <w:sz w:val="20"/>
          <w:szCs w:val="20"/>
        </w:rPr>
        <w:t xml:space="preserve"> </w:t>
      </w:r>
    </w:p>
    <w:p w:rsidR="003D787F" w:rsidRDefault="003D787F">
      <w:pPr>
        <w:rPr>
          <w:sz w:val="20"/>
          <w:szCs w:val="20"/>
        </w:rPr>
      </w:pPr>
      <w:r>
        <w:rPr>
          <w:sz w:val="20"/>
          <w:szCs w:val="20"/>
        </w:rPr>
        <w:t>Ясно, что при движении парамагнетика в магнитном поле</w:t>
      </w:r>
      <w:r w:rsidR="007C4CF1">
        <w:rPr>
          <w:sz w:val="20"/>
          <w:szCs w:val="20"/>
        </w:rPr>
        <w:t>,</w:t>
      </w:r>
      <w:r>
        <w:rPr>
          <w:sz w:val="20"/>
          <w:szCs w:val="20"/>
        </w:rPr>
        <w:t xml:space="preserve"> в нём наводится встречное поле, в отличии от ферромагнетика, но это не объясняет смену знака на противоположный за один цикл приближения или удаления.</w:t>
      </w:r>
    </w:p>
    <w:p w:rsidR="00CD17A6" w:rsidRDefault="00CD17A6">
      <w:pPr>
        <w:rPr>
          <w:sz w:val="20"/>
          <w:szCs w:val="20"/>
        </w:rPr>
      </w:pPr>
    </w:p>
    <w:p w:rsidR="00CD17A6" w:rsidRDefault="00CD17A6">
      <w:pPr>
        <w:rPr>
          <w:sz w:val="20"/>
          <w:szCs w:val="20"/>
        </w:rPr>
      </w:pPr>
    </w:p>
    <w:p w:rsidR="003D787F" w:rsidRDefault="003D787F">
      <w:pPr>
        <w:rPr>
          <w:sz w:val="20"/>
          <w:szCs w:val="20"/>
        </w:rPr>
      </w:pPr>
      <w:r>
        <w:rPr>
          <w:sz w:val="20"/>
          <w:szCs w:val="20"/>
        </w:rPr>
        <w:t>Поэтому был проведён ещё один опыт, в котором в качестве образца использовался постоянный магнит</w:t>
      </w:r>
      <w:r w:rsidR="00AB5D6D">
        <w:rPr>
          <w:sz w:val="20"/>
          <w:szCs w:val="20"/>
        </w:rPr>
        <w:t>, который перемещался относительно катушки на магните, либо одноимённым полюсом, либо встречным, по отношению к магниту в катушке.</w:t>
      </w:r>
    </w:p>
    <w:p w:rsidR="007C4CF1" w:rsidRDefault="007C4CF1">
      <w:pPr>
        <w:rPr>
          <w:sz w:val="20"/>
          <w:szCs w:val="20"/>
        </w:rPr>
      </w:pPr>
    </w:p>
    <w:p w:rsidR="00CD17A6" w:rsidRDefault="00456E58">
      <w:pPr>
        <w:rPr>
          <w:sz w:val="20"/>
          <w:szCs w:val="20"/>
        </w:rPr>
      </w:pPr>
      <w:r>
        <w:rPr>
          <w:sz w:val="20"/>
          <w:szCs w:val="20"/>
        </w:rPr>
        <w:t>При приближении разноимённых полюсов-эпюра аналогичная, как и при приближении ферромагнетика</w:t>
      </w:r>
    </w:p>
    <w:p w:rsidR="00CD17A6" w:rsidRDefault="00CD17A6">
      <w:pPr>
        <w:rPr>
          <w:sz w:val="20"/>
          <w:szCs w:val="20"/>
        </w:rPr>
      </w:pPr>
    </w:p>
    <w:p w:rsidR="00CD17A6" w:rsidRDefault="00CD17A6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5937250" cy="248539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48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E58" w:rsidRDefault="00456E58">
      <w:pPr>
        <w:rPr>
          <w:sz w:val="20"/>
          <w:szCs w:val="20"/>
        </w:rPr>
      </w:pPr>
    </w:p>
    <w:p w:rsidR="00456E58" w:rsidRDefault="00456E58">
      <w:pPr>
        <w:rPr>
          <w:sz w:val="20"/>
          <w:szCs w:val="20"/>
        </w:rPr>
      </w:pPr>
    </w:p>
    <w:p w:rsidR="00456E58" w:rsidRDefault="00456E58">
      <w:pPr>
        <w:rPr>
          <w:sz w:val="20"/>
          <w:szCs w:val="20"/>
        </w:rPr>
      </w:pPr>
    </w:p>
    <w:p w:rsidR="00456E58" w:rsidRDefault="00456E58">
      <w:pPr>
        <w:rPr>
          <w:sz w:val="20"/>
          <w:szCs w:val="20"/>
        </w:rPr>
      </w:pPr>
    </w:p>
    <w:p w:rsidR="00CE77A5" w:rsidRDefault="00456E58">
      <w:pPr>
        <w:rPr>
          <w:sz w:val="20"/>
          <w:szCs w:val="20"/>
        </w:rPr>
      </w:pPr>
      <w:r>
        <w:rPr>
          <w:sz w:val="20"/>
          <w:szCs w:val="20"/>
        </w:rPr>
        <w:t>При приближении одноимённых полюсов, знак ЭДС меняется на противоположный.</w:t>
      </w:r>
    </w:p>
    <w:p w:rsidR="00CE77A5" w:rsidRDefault="00CE77A5">
      <w:pPr>
        <w:rPr>
          <w:sz w:val="20"/>
          <w:szCs w:val="20"/>
        </w:rPr>
      </w:pPr>
    </w:p>
    <w:p w:rsidR="00CE77A5" w:rsidRDefault="00CE77A5">
      <w:pPr>
        <w:rPr>
          <w:sz w:val="20"/>
          <w:szCs w:val="20"/>
        </w:rPr>
      </w:pPr>
    </w:p>
    <w:p w:rsidR="00CE77A5" w:rsidRDefault="00CE77A5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5937250" cy="2517775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51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E58" w:rsidRDefault="00456E58">
      <w:pPr>
        <w:rPr>
          <w:sz w:val="20"/>
          <w:szCs w:val="20"/>
        </w:rPr>
      </w:pPr>
    </w:p>
    <w:p w:rsidR="00456E58" w:rsidRDefault="00456E58">
      <w:pPr>
        <w:rPr>
          <w:sz w:val="20"/>
          <w:szCs w:val="20"/>
        </w:rPr>
      </w:pPr>
    </w:p>
    <w:p w:rsidR="00456E58" w:rsidRDefault="00456E58">
      <w:pPr>
        <w:rPr>
          <w:sz w:val="20"/>
          <w:szCs w:val="20"/>
        </w:rPr>
      </w:pPr>
    </w:p>
    <w:p w:rsidR="00456E58" w:rsidRDefault="00456E58">
      <w:pPr>
        <w:rPr>
          <w:sz w:val="20"/>
          <w:szCs w:val="20"/>
        </w:rPr>
      </w:pPr>
      <w:r>
        <w:rPr>
          <w:sz w:val="20"/>
          <w:szCs w:val="20"/>
        </w:rPr>
        <w:t>При удалении магнитов, картина повторяется. Разноименные полюса-всё как с ферромагнетиком.</w:t>
      </w:r>
    </w:p>
    <w:p w:rsidR="00CE77A5" w:rsidRDefault="00CE77A5">
      <w:pPr>
        <w:rPr>
          <w:sz w:val="20"/>
          <w:szCs w:val="20"/>
        </w:rPr>
      </w:pPr>
    </w:p>
    <w:p w:rsidR="00CE77A5" w:rsidRDefault="00CE77A5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5937250" cy="272415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E58" w:rsidRDefault="00456E58">
      <w:pPr>
        <w:rPr>
          <w:sz w:val="20"/>
          <w:szCs w:val="20"/>
        </w:rPr>
      </w:pPr>
    </w:p>
    <w:p w:rsidR="007C4CF1" w:rsidRDefault="007C4CF1">
      <w:pPr>
        <w:rPr>
          <w:sz w:val="20"/>
          <w:szCs w:val="20"/>
        </w:rPr>
      </w:pPr>
    </w:p>
    <w:p w:rsidR="007C4CF1" w:rsidRDefault="00456E58">
      <w:pPr>
        <w:rPr>
          <w:sz w:val="20"/>
          <w:szCs w:val="20"/>
        </w:rPr>
      </w:pPr>
      <w:r>
        <w:rPr>
          <w:sz w:val="20"/>
          <w:szCs w:val="20"/>
        </w:rPr>
        <w:t xml:space="preserve">А при </w:t>
      </w:r>
      <w:r w:rsidR="00AF617D">
        <w:rPr>
          <w:sz w:val="20"/>
          <w:szCs w:val="20"/>
        </w:rPr>
        <w:t>одноимённых-полярность ЭДС в катушке меняется на противоположную.</w:t>
      </w:r>
    </w:p>
    <w:p w:rsidR="007C4CF1" w:rsidRDefault="007C4CF1">
      <w:pPr>
        <w:rPr>
          <w:sz w:val="20"/>
          <w:szCs w:val="20"/>
        </w:rPr>
      </w:pPr>
    </w:p>
    <w:p w:rsidR="007C4CF1" w:rsidRDefault="007C4CF1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5937250" cy="2659380"/>
            <wp:effectExtent l="0" t="0" r="635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6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17D" w:rsidRDefault="00AF617D">
      <w:pPr>
        <w:rPr>
          <w:sz w:val="20"/>
          <w:szCs w:val="20"/>
        </w:rPr>
      </w:pPr>
      <w:r>
        <w:rPr>
          <w:sz w:val="20"/>
          <w:szCs w:val="20"/>
        </w:rPr>
        <w:t xml:space="preserve">Выводов пока делать не буду. </w:t>
      </w:r>
      <w:r w:rsidR="00CA07D4">
        <w:rPr>
          <w:sz w:val="20"/>
          <w:szCs w:val="20"/>
        </w:rPr>
        <w:t xml:space="preserve"> </w:t>
      </w:r>
    </w:p>
    <w:p w:rsidR="00AF617D" w:rsidRDefault="00AF617D">
      <w:pPr>
        <w:rPr>
          <w:sz w:val="20"/>
          <w:szCs w:val="20"/>
        </w:rPr>
      </w:pPr>
      <w:r>
        <w:rPr>
          <w:sz w:val="20"/>
          <w:szCs w:val="20"/>
        </w:rPr>
        <w:t xml:space="preserve">С уважением, </w:t>
      </w:r>
      <w:proofErr w:type="spellStart"/>
      <w:r>
        <w:rPr>
          <w:sz w:val="20"/>
          <w:szCs w:val="20"/>
        </w:rPr>
        <w:t>Златомир</w:t>
      </w:r>
      <w:proofErr w:type="spellEnd"/>
      <w:r>
        <w:rPr>
          <w:sz w:val="20"/>
          <w:szCs w:val="20"/>
        </w:rPr>
        <w:t xml:space="preserve">.                                                                                Олег </w:t>
      </w:r>
      <w:proofErr w:type="spellStart"/>
      <w:r>
        <w:rPr>
          <w:sz w:val="20"/>
          <w:szCs w:val="20"/>
        </w:rPr>
        <w:t>Пицкалёв</w:t>
      </w:r>
      <w:proofErr w:type="spellEnd"/>
      <w:r>
        <w:rPr>
          <w:sz w:val="20"/>
          <w:szCs w:val="20"/>
        </w:rPr>
        <w:t>.</w:t>
      </w:r>
    </w:p>
    <w:p w:rsidR="00CE77A5" w:rsidRPr="00D86220" w:rsidRDefault="00CE77A5">
      <w:pPr>
        <w:rPr>
          <w:sz w:val="20"/>
          <w:szCs w:val="20"/>
        </w:rPr>
      </w:pPr>
    </w:p>
    <w:sectPr w:rsidR="00CE77A5" w:rsidRPr="00D86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779"/>
    <w:rsid w:val="000F301D"/>
    <w:rsid w:val="002B7B87"/>
    <w:rsid w:val="00382779"/>
    <w:rsid w:val="003D787F"/>
    <w:rsid w:val="00444ED8"/>
    <w:rsid w:val="00456E58"/>
    <w:rsid w:val="006B4E13"/>
    <w:rsid w:val="007C4CF1"/>
    <w:rsid w:val="009C3727"/>
    <w:rsid w:val="00AB5D6D"/>
    <w:rsid w:val="00AF617D"/>
    <w:rsid w:val="00B35AC1"/>
    <w:rsid w:val="00B74E04"/>
    <w:rsid w:val="00CA07D4"/>
    <w:rsid w:val="00CD17A6"/>
    <w:rsid w:val="00CE77A5"/>
    <w:rsid w:val="00D8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9F613"/>
  <w15:chartTrackingRefBased/>
  <w15:docId w15:val="{9EB62ACA-3C36-4AD2-B5EC-A18C14E8D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2017-07-30T17:17:00Z</dcterms:created>
  <dcterms:modified xsi:type="dcterms:W3CDTF">2017-07-30T21:48:00Z</dcterms:modified>
</cp:coreProperties>
</file>